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221"/>
        <w:rPr>
          <w:rFonts w:ascii="Times New Roman"/>
          <w:sz w:val="20"/>
        </w:rPr>
      </w:pPr>
    </w:p>
    <w:p>
      <w:pPr>
        <w:spacing w:line="240" w:lineRule="auto"/>
        <w:ind w:left="1661" w:right="0" w:firstLine="0"/>
        <w:rPr>
          <w:rFonts w:ascii="Times New Roman"/>
          <w:sz w:val="20"/>
        </w:rPr>
      </w:pPr>
      <w:r>
        <w:rPr>
          <w:rFonts w:ascii="Times New Roman"/>
          <w:sz w:val="20"/>
        </w:rPr>
        <w:drawing>
          <wp:inline distT="0" distB="0" distL="0" distR="0">
            <wp:extent cx="3660290" cy="6172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660290" cy="61722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6"/>
        <w:rPr>
          <w:rFonts w:ascii="Times New Roman"/>
          <w:sz w:val="20"/>
        </w:rPr>
      </w:pPr>
    </w:p>
    <w:p>
      <w:pPr>
        <w:pStyle w:val="BodyText"/>
        <w:spacing w:after="0"/>
        <w:rPr>
          <w:rFonts w:ascii="Times New Roman"/>
          <w:sz w:val="20"/>
        </w:rPr>
        <w:sectPr>
          <w:footerReference w:type="default" r:id="rId5"/>
          <w:type w:val="continuous"/>
          <w:pgSz w:w="12240" w:h="15840"/>
          <w:pgMar w:header="0" w:footer="801" w:top="1820" w:bottom="1000" w:left="1800" w:right="1800"/>
          <w:pgNumType w:start="1"/>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22"/>
        <w:rPr>
          <w:rFonts w:ascii="Times New Roman"/>
        </w:rPr>
      </w:pPr>
    </w:p>
    <w:p>
      <w:pPr>
        <w:pStyle w:val="Heading1"/>
      </w:pPr>
      <w:r>
        <w:rPr>
          <w:spacing w:val="-6"/>
        </w:rPr>
        <w:t>Introduction</w:t>
      </w:r>
    </w:p>
    <w:p>
      <w:pPr>
        <w:pStyle w:val="BodyText"/>
        <w:spacing w:before="100"/>
        <w:ind w:left="1469"/>
      </w:pPr>
      <w:r>
        <w:rPr/>
        <w:br w:type="column"/>
      </w:r>
      <w:r>
        <w:rPr/>
        <w:t>Stony</w:t>
      </w:r>
      <w:r>
        <w:rPr>
          <w:spacing w:val="-7"/>
        </w:rPr>
        <w:t> </w:t>
      </w:r>
      <w:r>
        <w:rPr/>
        <w:t>Brook</w:t>
      </w:r>
      <w:r>
        <w:rPr>
          <w:spacing w:val="-2"/>
        </w:rPr>
        <w:t> University</w:t>
      </w:r>
    </w:p>
    <w:p>
      <w:pPr>
        <w:pStyle w:val="BodyText"/>
        <w:spacing w:before="2"/>
        <w:ind w:left="253" w:right="2354" w:firstLine="405"/>
      </w:pPr>
      <w:r>
        <w:rPr/>
        <w:t>School</w:t>
      </w:r>
      <w:r>
        <w:rPr>
          <w:spacing w:val="-14"/>
        </w:rPr>
        <w:t> </w:t>
      </w:r>
      <w:r>
        <w:rPr/>
        <w:t>of</w:t>
      </w:r>
      <w:r>
        <w:rPr>
          <w:spacing w:val="-13"/>
        </w:rPr>
        <w:t> </w:t>
      </w:r>
      <w:r>
        <w:rPr/>
        <w:t>Communication</w:t>
      </w:r>
      <w:r>
        <w:rPr>
          <w:spacing w:val="-13"/>
        </w:rPr>
        <w:t> </w:t>
      </w:r>
      <w:r>
        <w:rPr/>
        <w:t>&amp;</w:t>
      </w:r>
      <w:r>
        <w:rPr>
          <w:spacing w:val="-13"/>
        </w:rPr>
        <w:t> </w:t>
      </w:r>
      <w:r>
        <w:rPr/>
        <w:t>Journalism School Policy for: Responsible Conduct of</w:t>
      </w:r>
    </w:p>
    <w:p>
      <w:pPr>
        <w:pStyle w:val="BodyText"/>
        <w:spacing w:line="275" w:lineRule="exact"/>
        <w:ind w:left="478"/>
      </w:pPr>
      <w:r>
        <w:rPr/>
        <w:t>Research</w:t>
      </w:r>
      <w:r>
        <w:rPr>
          <w:spacing w:val="-5"/>
        </w:rPr>
        <w:t> </w:t>
      </w:r>
      <w:r>
        <w:rPr/>
        <w:t>and</w:t>
      </w:r>
      <w:r>
        <w:rPr>
          <w:spacing w:val="-3"/>
        </w:rPr>
        <w:t> </w:t>
      </w:r>
      <w:r>
        <w:rPr/>
        <w:t>Scholarship</w:t>
      </w:r>
      <w:r>
        <w:rPr>
          <w:spacing w:val="-10"/>
        </w:rPr>
        <w:t> </w:t>
      </w:r>
      <w:r>
        <w:rPr/>
        <w:t>(RCRS)</w:t>
      </w:r>
      <w:r>
        <w:rPr>
          <w:spacing w:val="-4"/>
        </w:rPr>
        <w:t> </w:t>
      </w:r>
      <w:r>
        <w:rPr>
          <w:spacing w:val="-2"/>
        </w:rPr>
        <w:t>Training</w:t>
      </w:r>
    </w:p>
    <w:p>
      <w:pPr>
        <w:pStyle w:val="BodyText"/>
        <w:spacing w:after="0" w:line="275" w:lineRule="exact"/>
        <w:sectPr>
          <w:type w:val="continuous"/>
          <w:pgSz w:w="12240" w:h="15840"/>
          <w:pgMar w:header="0" w:footer="801" w:top="1820" w:bottom="1000" w:left="1800" w:right="1800"/>
          <w:cols w:num="2" w:equalWidth="0">
            <w:col w:w="1364" w:space="297"/>
            <w:col w:w="6979"/>
          </w:cols>
        </w:sectPr>
      </w:pPr>
    </w:p>
    <w:p>
      <w:pPr>
        <w:pStyle w:val="BodyText"/>
        <w:spacing w:before="7"/>
        <w:ind w:right="32"/>
      </w:pPr>
      <w:r>
        <w:rPr/>
        <w:t>Communication</w:t>
      </w:r>
      <w:r>
        <w:rPr>
          <w:spacing w:val="-1"/>
        </w:rPr>
        <w:t> </w:t>
      </w:r>
      <w:r>
        <w:rPr/>
        <w:t>and</w:t>
      </w:r>
      <w:r>
        <w:rPr>
          <w:spacing w:val="-1"/>
        </w:rPr>
        <w:t> </w:t>
      </w:r>
      <w:r>
        <w:rPr/>
        <w:t>journalism,</w:t>
      </w:r>
      <w:r>
        <w:rPr>
          <w:spacing w:val="-1"/>
        </w:rPr>
        <w:t> </w:t>
      </w:r>
      <w:r>
        <w:rPr/>
        <w:t>by</w:t>
      </w:r>
      <w:r>
        <w:rPr>
          <w:spacing w:val="-1"/>
        </w:rPr>
        <w:t> </w:t>
      </w:r>
      <w:r>
        <w:rPr/>
        <w:t>their</w:t>
      </w:r>
      <w:r>
        <w:rPr>
          <w:spacing w:val="-1"/>
        </w:rPr>
        <w:t> </w:t>
      </w:r>
      <w:r>
        <w:rPr/>
        <w:t>public</w:t>
      </w:r>
      <w:r>
        <w:rPr>
          <w:spacing w:val="-1"/>
        </w:rPr>
        <w:t> </w:t>
      </w:r>
      <w:r>
        <w:rPr/>
        <w:t>nature,</w:t>
      </w:r>
      <w:r>
        <w:rPr>
          <w:spacing w:val="-1"/>
        </w:rPr>
        <w:t> </w:t>
      </w:r>
      <w:r>
        <w:rPr/>
        <w:t>their</w:t>
      </w:r>
      <w:r>
        <w:rPr>
          <w:spacing w:val="-1"/>
        </w:rPr>
        <w:t> </w:t>
      </w:r>
      <w:r>
        <w:rPr/>
        <w:t>sensitivity</w:t>
      </w:r>
      <w:r>
        <w:rPr>
          <w:spacing w:val="-1"/>
        </w:rPr>
        <w:t> </w:t>
      </w:r>
      <w:r>
        <w:rPr/>
        <w:t>to</w:t>
      </w:r>
      <w:r>
        <w:rPr>
          <w:spacing w:val="-1"/>
        </w:rPr>
        <w:t> </w:t>
      </w:r>
      <w:r>
        <w:rPr/>
        <w:t>the</w:t>
      </w:r>
      <w:r>
        <w:rPr>
          <w:spacing w:val="-1"/>
        </w:rPr>
        <w:t> </w:t>
      </w:r>
      <w:r>
        <w:rPr/>
        <w:t>uses and abuses of sources, the imperative to avoid the perils of propaganda and fake news, grounds its teaching, scholarship, research and creative activities in aggressively adhering to ethical norms. As a baseline, all faculty and students are expected</w:t>
      </w:r>
      <w:r>
        <w:rPr>
          <w:spacing w:val="-9"/>
        </w:rPr>
        <w:t> </w:t>
      </w:r>
      <w:r>
        <w:rPr/>
        <w:t>to</w:t>
      </w:r>
      <w:r>
        <w:rPr>
          <w:spacing w:val="-8"/>
        </w:rPr>
        <w:t> </w:t>
      </w:r>
      <w:r>
        <w:rPr/>
        <w:t>abide</w:t>
      </w:r>
      <w:r>
        <w:rPr>
          <w:spacing w:val="-11"/>
        </w:rPr>
        <w:t> </w:t>
      </w:r>
      <w:r>
        <w:rPr/>
        <w:t>by</w:t>
      </w:r>
      <w:r>
        <w:rPr>
          <w:spacing w:val="-12"/>
        </w:rPr>
        <w:t> </w:t>
      </w:r>
      <w:r>
        <w:rPr/>
        <w:t>the</w:t>
      </w:r>
      <w:r>
        <w:rPr>
          <w:spacing w:val="-13"/>
        </w:rPr>
        <w:t> </w:t>
      </w:r>
      <w:r>
        <w:rPr/>
        <w:t>Society</w:t>
      </w:r>
      <w:r>
        <w:rPr>
          <w:spacing w:val="-12"/>
        </w:rPr>
        <w:t> </w:t>
      </w:r>
      <w:r>
        <w:rPr/>
        <w:t>of</w:t>
      </w:r>
      <w:r>
        <w:rPr>
          <w:spacing w:val="-13"/>
        </w:rPr>
        <w:t> </w:t>
      </w:r>
      <w:r>
        <w:rPr/>
        <w:t>Professional</w:t>
      </w:r>
      <w:r>
        <w:rPr>
          <w:spacing w:val="-11"/>
        </w:rPr>
        <w:t> </w:t>
      </w:r>
      <w:r>
        <w:rPr/>
        <w:t>Journalists’</w:t>
      </w:r>
      <w:r>
        <w:rPr>
          <w:spacing w:val="-7"/>
        </w:rPr>
        <w:t> </w:t>
      </w:r>
      <w:r>
        <w:rPr/>
        <w:t>Code</w:t>
      </w:r>
      <w:r>
        <w:rPr>
          <w:spacing w:val="-14"/>
        </w:rPr>
        <w:t> </w:t>
      </w:r>
      <w:r>
        <w:rPr/>
        <w:t>of</w:t>
      </w:r>
      <w:r>
        <w:rPr>
          <w:spacing w:val="-12"/>
        </w:rPr>
        <w:t> </w:t>
      </w:r>
      <w:r>
        <w:rPr/>
        <w:t>Ethical</w:t>
      </w:r>
      <w:r>
        <w:rPr>
          <w:spacing w:val="-9"/>
        </w:rPr>
        <w:t> </w:t>
      </w:r>
      <w:r>
        <w:rPr/>
        <w:t>Conduct (spj.org) and the ethical standards and practices of the country’s most respected news organizations.</w:t>
      </w:r>
    </w:p>
    <w:p>
      <w:pPr>
        <w:pStyle w:val="BodyText"/>
      </w:pPr>
    </w:p>
    <w:p>
      <w:pPr>
        <w:pStyle w:val="Heading1"/>
      </w:pPr>
      <w:r>
        <w:rPr>
          <w:spacing w:val="-2"/>
        </w:rPr>
        <w:t>Background</w:t>
      </w:r>
    </w:p>
    <w:p>
      <w:pPr>
        <w:pStyle w:val="BodyText"/>
        <w:spacing w:before="2"/>
      </w:pPr>
      <w:r>
        <w:rPr/>
        <w:t>Stony</w:t>
      </w:r>
      <w:r>
        <w:rPr>
          <w:spacing w:val="-11"/>
        </w:rPr>
        <w:t> </w:t>
      </w:r>
      <w:r>
        <w:rPr/>
        <w:t>Brook</w:t>
      </w:r>
      <w:r>
        <w:rPr>
          <w:spacing w:val="-8"/>
        </w:rPr>
        <w:t> </w:t>
      </w:r>
      <w:r>
        <w:rPr/>
        <w:t>University</w:t>
      </w:r>
      <w:r>
        <w:rPr>
          <w:spacing w:val="-9"/>
        </w:rPr>
        <w:t> </w:t>
      </w:r>
      <w:r>
        <w:rPr/>
        <w:t>policy</w:t>
      </w:r>
      <w:r>
        <w:rPr>
          <w:spacing w:val="-11"/>
        </w:rPr>
        <w:t> </w:t>
      </w:r>
      <w:r>
        <w:rPr/>
        <w:t>requires</w:t>
      </w:r>
      <w:r>
        <w:rPr>
          <w:spacing w:val="-7"/>
        </w:rPr>
        <w:t> </w:t>
      </w:r>
      <w:r>
        <w:rPr/>
        <w:t>members</w:t>
      </w:r>
      <w:r>
        <w:rPr>
          <w:spacing w:val="-6"/>
        </w:rPr>
        <w:t> </w:t>
      </w:r>
      <w:r>
        <w:rPr/>
        <w:t>and</w:t>
      </w:r>
      <w:r>
        <w:rPr>
          <w:spacing w:val="-8"/>
        </w:rPr>
        <w:t> </w:t>
      </w:r>
      <w:r>
        <w:rPr/>
        <w:t>certain</w:t>
      </w:r>
      <w:r>
        <w:rPr>
          <w:spacing w:val="-7"/>
        </w:rPr>
        <w:t> </w:t>
      </w:r>
      <w:r>
        <w:rPr/>
        <w:t>visitors</w:t>
      </w:r>
      <w:r>
        <w:rPr>
          <w:spacing w:val="-6"/>
        </w:rPr>
        <w:t> </w:t>
      </w:r>
      <w:r>
        <w:rPr/>
        <w:t>of</w:t>
      </w:r>
      <w:r>
        <w:rPr>
          <w:spacing w:val="-8"/>
        </w:rPr>
        <w:t> </w:t>
      </w:r>
      <w:r>
        <w:rPr/>
        <w:t>the</w:t>
      </w:r>
      <w:r>
        <w:rPr>
          <w:spacing w:val="-7"/>
        </w:rPr>
        <w:t> </w:t>
      </w:r>
      <w:r>
        <w:rPr/>
        <w:t>Stony Brook</w:t>
      </w:r>
      <w:r>
        <w:rPr>
          <w:spacing w:val="-9"/>
        </w:rPr>
        <w:t> </w:t>
      </w:r>
      <w:r>
        <w:rPr/>
        <w:t>University</w:t>
      </w:r>
      <w:r>
        <w:rPr>
          <w:spacing w:val="-9"/>
        </w:rPr>
        <w:t> </w:t>
      </w:r>
      <w:r>
        <w:rPr/>
        <w:t>community</w:t>
      </w:r>
      <w:r>
        <w:rPr>
          <w:spacing w:val="-9"/>
        </w:rPr>
        <w:t> </w:t>
      </w:r>
      <w:r>
        <w:rPr/>
        <w:t>to</w:t>
      </w:r>
      <w:r>
        <w:rPr>
          <w:spacing w:val="-10"/>
        </w:rPr>
        <w:t> </w:t>
      </w:r>
      <w:r>
        <w:rPr/>
        <w:t>complete</w:t>
      </w:r>
      <w:r>
        <w:rPr>
          <w:spacing w:val="-9"/>
        </w:rPr>
        <w:t> </w:t>
      </w:r>
      <w:r>
        <w:rPr/>
        <w:t>educational</w:t>
      </w:r>
      <w:r>
        <w:rPr>
          <w:spacing w:val="-9"/>
        </w:rPr>
        <w:t> </w:t>
      </w:r>
      <w:r>
        <w:rPr/>
        <w:t>training</w:t>
      </w:r>
      <w:r>
        <w:rPr>
          <w:spacing w:val="-10"/>
        </w:rPr>
        <w:t> </w:t>
      </w:r>
      <w:r>
        <w:rPr/>
        <w:t>on</w:t>
      </w:r>
      <w:r>
        <w:rPr>
          <w:spacing w:val="-9"/>
        </w:rPr>
        <w:t> </w:t>
      </w:r>
      <w:r>
        <w:rPr/>
        <w:t>the</w:t>
      </w:r>
      <w:r>
        <w:rPr>
          <w:spacing w:val="-10"/>
        </w:rPr>
        <w:t> </w:t>
      </w:r>
      <w:r>
        <w:rPr/>
        <w:t>responsible conduct of research and scholarship in order to equip members with the tools necessary to conduct ethically sound and compliant research and scholarship.</w:t>
      </w:r>
    </w:p>
    <w:p>
      <w:pPr>
        <w:pStyle w:val="BodyText"/>
        <w:spacing w:before="281"/>
        <w:ind w:right="83"/>
      </w:pPr>
      <w:r>
        <w:rPr/>
        <w:t>While</w:t>
      </w:r>
      <w:r>
        <w:rPr>
          <w:spacing w:val="-14"/>
        </w:rPr>
        <w:t> </w:t>
      </w:r>
      <w:r>
        <w:rPr/>
        <w:t>this</w:t>
      </w:r>
      <w:r>
        <w:rPr>
          <w:spacing w:val="-8"/>
        </w:rPr>
        <w:t> </w:t>
      </w:r>
      <w:r>
        <w:rPr/>
        <w:t>campus</w:t>
      </w:r>
      <w:r>
        <w:rPr>
          <w:spacing w:val="-13"/>
        </w:rPr>
        <w:t> </w:t>
      </w:r>
      <w:r>
        <w:rPr/>
        <w:t>policy</w:t>
      </w:r>
      <w:r>
        <w:rPr>
          <w:spacing w:val="-13"/>
        </w:rPr>
        <w:t> </w:t>
      </w:r>
      <w:r>
        <w:rPr/>
        <w:t>originates</w:t>
      </w:r>
      <w:r>
        <w:rPr>
          <w:spacing w:val="-8"/>
        </w:rPr>
        <w:t> </w:t>
      </w:r>
      <w:r>
        <w:rPr/>
        <w:t>in</w:t>
      </w:r>
      <w:r>
        <w:rPr>
          <w:spacing w:val="-9"/>
        </w:rPr>
        <w:t> </w:t>
      </w:r>
      <w:r>
        <w:rPr/>
        <w:t>response</w:t>
      </w:r>
      <w:r>
        <w:rPr>
          <w:spacing w:val="-12"/>
        </w:rPr>
        <w:t> </w:t>
      </w:r>
      <w:r>
        <w:rPr/>
        <w:t>to</w:t>
      </w:r>
      <w:r>
        <w:rPr>
          <w:spacing w:val="-9"/>
        </w:rPr>
        <w:t> </w:t>
      </w:r>
      <w:r>
        <w:rPr/>
        <w:t>National</w:t>
      </w:r>
      <w:r>
        <w:rPr>
          <w:spacing w:val="-10"/>
        </w:rPr>
        <w:t> </w:t>
      </w:r>
      <w:r>
        <w:rPr/>
        <w:t>Institute</w:t>
      </w:r>
      <w:r>
        <w:rPr>
          <w:spacing w:val="-14"/>
        </w:rPr>
        <w:t> </w:t>
      </w:r>
      <w:r>
        <w:rPr/>
        <w:t>of</w:t>
      </w:r>
      <w:r>
        <w:rPr>
          <w:spacing w:val="-13"/>
        </w:rPr>
        <w:t> </w:t>
      </w:r>
      <w:r>
        <w:rPr/>
        <w:t>Health</w:t>
      </w:r>
      <w:r>
        <w:rPr>
          <w:spacing w:val="-7"/>
        </w:rPr>
        <w:t> </w:t>
      </w:r>
      <w:r>
        <w:rPr/>
        <w:t>(NIH) and National Science Foundation (NSF) training requirements, it is the opinion of the University that training on responsible conduct of research and scholarship should</w:t>
      </w:r>
      <w:r>
        <w:rPr>
          <w:spacing w:val="-8"/>
        </w:rPr>
        <w:t> </w:t>
      </w:r>
      <w:r>
        <w:rPr/>
        <w:t>be</w:t>
      </w:r>
      <w:r>
        <w:rPr>
          <w:spacing w:val="-9"/>
        </w:rPr>
        <w:t> </w:t>
      </w:r>
      <w:r>
        <w:rPr/>
        <w:t>more</w:t>
      </w:r>
      <w:r>
        <w:rPr>
          <w:spacing w:val="-8"/>
        </w:rPr>
        <w:t> </w:t>
      </w:r>
      <w:r>
        <w:rPr/>
        <w:t>comprehensive.</w:t>
      </w:r>
      <w:r>
        <w:rPr>
          <w:spacing w:val="-6"/>
        </w:rPr>
        <w:t> </w:t>
      </w:r>
      <w:r>
        <w:rPr/>
        <w:t>Jointly</w:t>
      </w:r>
      <w:r>
        <w:rPr>
          <w:spacing w:val="-6"/>
        </w:rPr>
        <w:t> </w:t>
      </w:r>
      <w:r>
        <w:rPr/>
        <w:t>issued</w:t>
      </w:r>
      <w:r>
        <w:rPr>
          <w:spacing w:val="-7"/>
        </w:rPr>
        <w:t> </w:t>
      </w:r>
      <w:r>
        <w:rPr/>
        <w:t>by</w:t>
      </w:r>
      <w:r>
        <w:rPr>
          <w:spacing w:val="-12"/>
        </w:rPr>
        <w:t> </w:t>
      </w:r>
      <w:r>
        <w:rPr/>
        <w:t>the</w:t>
      </w:r>
      <w:r>
        <w:rPr>
          <w:spacing w:val="-9"/>
        </w:rPr>
        <w:t> </w:t>
      </w:r>
      <w:r>
        <w:rPr/>
        <w:t>Office</w:t>
      </w:r>
      <w:r>
        <w:rPr>
          <w:spacing w:val="-7"/>
        </w:rPr>
        <w:t> </w:t>
      </w:r>
      <w:r>
        <w:rPr/>
        <w:t>of</w:t>
      </w:r>
      <w:r>
        <w:rPr>
          <w:spacing w:val="-9"/>
        </w:rPr>
        <w:t> </w:t>
      </w:r>
      <w:r>
        <w:rPr/>
        <w:t>the</w:t>
      </w:r>
      <w:r>
        <w:rPr>
          <w:spacing w:val="-9"/>
        </w:rPr>
        <w:t> </w:t>
      </w:r>
      <w:r>
        <w:rPr/>
        <w:t>Provost,</w:t>
      </w:r>
      <w:r>
        <w:rPr>
          <w:spacing w:val="-9"/>
        </w:rPr>
        <w:t> </w:t>
      </w:r>
      <w:r>
        <w:rPr/>
        <w:t>the</w:t>
      </w:r>
      <w:r>
        <w:rPr>
          <w:spacing w:val="-9"/>
        </w:rPr>
        <w:t> </w:t>
      </w:r>
      <w:r>
        <w:rPr/>
        <w:t>Office of the Senior Vice-President for Health Sciences, and the Vice-President for Research</w:t>
      </w:r>
      <w:r>
        <w:rPr>
          <w:spacing w:val="-1"/>
        </w:rPr>
        <w:t> </w:t>
      </w:r>
      <w:r>
        <w:rPr/>
        <w:t>and</w:t>
      </w:r>
      <w:r>
        <w:rPr>
          <w:spacing w:val="-2"/>
        </w:rPr>
        <w:t> </w:t>
      </w:r>
      <w:r>
        <w:rPr/>
        <w:t>Innovation,</w:t>
      </w:r>
      <w:r>
        <w:rPr>
          <w:spacing w:val="-1"/>
        </w:rPr>
        <w:t> </w:t>
      </w:r>
      <w:r>
        <w:rPr/>
        <w:t>the</w:t>
      </w:r>
      <w:r>
        <w:rPr>
          <w:spacing w:val="-5"/>
        </w:rPr>
        <w:t> </w:t>
      </w:r>
      <w:r>
        <w:rPr/>
        <w:t>policy</w:t>
      </w:r>
      <w:r>
        <w:rPr>
          <w:spacing w:val="-3"/>
        </w:rPr>
        <w:t> </w:t>
      </w:r>
      <w:r>
        <w:rPr/>
        <w:t>requires</w:t>
      </w:r>
      <w:r>
        <w:rPr>
          <w:spacing w:val="-1"/>
        </w:rPr>
        <w:t> </w:t>
      </w:r>
      <w:r>
        <w:rPr/>
        <w:t>each</w:t>
      </w:r>
      <w:r>
        <w:rPr>
          <w:spacing w:val="-1"/>
        </w:rPr>
        <w:t> </w:t>
      </w:r>
      <w:r>
        <w:rPr/>
        <w:t>academic</w:t>
      </w:r>
      <w:r>
        <w:rPr>
          <w:spacing w:val="-3"/>
        </w:rPr>
        <w:t> </w:t>
      </w:r>
      <w:r>
        <w:rPr/>
        <w:t>unit</w:t>
      </w:r>
      <w:r>
        <w:rPr>
          <w:spacing w:val="-2"/>
        </w:rPr>
        <w:t> </w:t>
      </w:r>
      <w:r>
        <w:rPr/>
        <w:t>to</w:t>
      </w:r>
      <w:r>
        <w:rPr>
          <w:spacing w:val="-1"/>
        </w:rPr>
        <w:t> </w:t>
      </w:r>
      <w:r>
        <w:rPr/>
        <w:t>develop</w:t>
      </w:r>
      <w:r>
        <w:rPr>
          <w:spacing w:val="-4"/>
        </w:rPr>
        <w:t> </w:t>
      </w:r>
      <w:r>
        <w:rPr/>
        <w:t>its</w:t>
      </w:r>
      <w:r>
        <w:rPr>
          <w:spacing w:val="-2"/>
        </w:rPr>
        <w:t> </w:t>
      </w:r>
      <w:r>
        <w:rPr/>
        <w:t>own Complementary Policy to allow for the most appropriate requirements for the faculty, staff and students of that academic unit.</w:t>
      </w:r>
    </w:p>
    <w:p>
      <w:pPr>
        <w:pStyle w:val="BodyText"/>
        <w:spacing w:before="2"/>
      </w:pPr>
    </w:p>
    <w:p>
      <w:pPr>
        <w:pStyle w:val="BodyText"/>
        <w:ind w:right="172"/>
      </w:pPr>
      <w:r>
        <w:rPr/>
        <w:t>The educational program in RCRS involves two (2) components: on-line training provided</w:t>
      </w:r>
      <w:r>
        <w:rPr>
          <w:spacing w:val="-14"/>
        </w:rPr>
        <w:t> </w:t>
      </w:r>
      <w:r>
        <w:rPr/>
        <w:t>by</w:t>
      </w:r>
      <w:r>
        <w:rPr>
          <w:spacing w:val="-13"/>
        </w:rPr>
        <w:t> </w:t>
      </w:r>
      <w:r>
        <w:rPr/>
        <w:t>the</w:t>
      </w:r>
      <w:r>
        <w:rPr>
          <w:spacing w:val="-13"/>
        </w:rPr>
        <w:t> </w:t>
      </w:r>
      <w:r>
        <w:rPr/>
        <w:t>web-based</w:t>
      </w:r>
      <w:r>
        <w:rPr>
          <w:spacing w:val="-13"/>
        </w:rPr>
        <w:t> </w:t>
      </w:r>
      <w:r>
        <w:rPr/>
        <w:t>Collaborative</w:t>
      </w:r>
      <w:r>
        <w:rPr>
          <w:spacing w:val="-14"/>
        </w:rPr>
        <w:t> </w:t>
      </w:r>
      <w:r>
        <w:rPr/>
        <w:t>Institutional</w:t>
      </w:r>
      <w:r>
        <w:rPr>
          <w:spacing w:val="-13"/>
        </w:rPr>
        <w:t> </w:t>
      </w:r>
      <w:r>
        <w:rPr/>
        <w:t>Training</w:t>
      </w:r>
      <w:r>
        <w:rPr>
          <w:spacing w:val="-13"/>
        </w:rPr>
        <w:t> </w:t>
      </w:r>
      <w:r>
        <w:rPr/>
        <w:t>Initiative</w:t>
      </w:r>
      <w:r>
        <w:rPr>
          <w:spacing w:val="-13"/>
        </w:rPr>
        <w:t> </w:t>
      </w:r>
      <w:r>
        <w:rPr/>
        <w:t>(CITI)</w:t>
      </w:r>
      <w:r>
        <w:rPr>
          <w:spacing w:val="-13"/>
        </w:rPr>
        <w:t> </w:t>
      </w:r>
      <w:r>
        <w:rPr/>
        <w:t>and in-person training (IPT). The federal IPT guidance is for eight (8) hours every 4 years, or 2 hours annually. The policy below outlines who in the School of</w:t>
      </w:r>
    </w:p>
    <w:p>
      <w:pPr>
        <w:pStyle w:val="BodyText"/>
        <w:spacing w:after="0"/>
        <w:sectPr>
          <w:type w:val="continuous"/>
          <w:pgSz w:w="12240" w:h="15840"/>
          <w:pgMar w:header="0" w:footer="801" w:top="1820" w:bottom="1000" w:left="1800" w:right="1800"/>
        </w:sectPr>
      </w:pPr>
    </w:p>
    <w:p>
      <w:pPr>
        <w:pStyle w:val="BodyText"/>
        <w:spacing w:before="77"/>
        <w:ind w:right="172"/>
      </w:pPr>
      <w:r>
        <w:rPr/>
        <w:t>Communication</w:t>
      </w:r>
      <w:r>
        <w:rPr>
          <w:spacing w:val="-14"/>
        </w:rPr>
        <w:t> </w:t>
      </w:r>
      <w:r>
        <w:rPr/>
        <w:t>&amp;</w:t>
      </w:r>
      <w:r>
        <w:rPr>
          <w:spacing w:val="-13"/>
        </w:rPr>
        <w:t> </w:t>
      </w:r>
      <w:r>
        <w:rPr/>
        <w:t>Journalism</w:t>
      </w:r>
      <w:r>
        <w:rPr>
          <w:spacing w:val="-11"/>
        </w:rPr>
        <w:t> </w:t>
      </w:r>
      <w:r>
        <w:rPr/>
        <w:t>is</w:t>
      </w:r>
      <w:r>
        <w:rPr>
          <w:spacing w:val="-14"/>
        </w:rPr>
        <w:t> </w:t>
      </w:r>
      <w:r>
        <w:rPr/>
        <w:t>required</w:t>
      </w:r>
      <w:r>
        <w:rPr>
          <w:spacing w:val="-11"/>
        </w:rPr>
        <w:t> </w:t>
      </w:r>
      <w:r>
        <w:rPr/>
        <w:t>to</w:t>
      </w:r>
      <w:r>
        <w:rPr>
          <w:spacing w:val="-14"/>
        </w:rPr>
        <w:t> </w:t>
      </w:r>
      <w:r>
        <w:rPr/>
        <w:t>complete</w:t>
      </w:r>
      <w:r>
        <w:rPr>
          <w:spacing w:val="-12"/>
        </w:rPr>
        <w:t> </w:t>
      </w:r>
      <w:r>
        <w:rPr/>
        <w:t>these</w:t>
      </w:r>
      <w:r>
        <w:rPr>
          <w:spacing w:val="-13"/>
        </w:rPr>
        <w:t> </w:t>
      </w:r>
      <w:r>
        <w:rPr/>
        <w:t>training</w:t>
      </w:r>
      <w:r>
        <w:rPr>
          <w:spacing w:val="-12"/>
        </w:rPr>
        <w:t> </w:t>
      </w:r>
      <w:r>
        <w:rPr/>
        <w:t>components, the required frequency of such training, and the general content of the training.</w:t>
      </w:r>
    </w:p>
    <w:p>
      <w:pPr>
        <w:pStyle w:val="BodyText"/>
        <w:spacing w:before="1"/>
      </w:pPr>
    </w:p>
    <w:p>
      <w:pPr>
        <w:pStyle w:val="BodyText"/>
      </w:pPr>
      <w:r>
        <w:rPr/>
        <w:t>Please note: If a person is receiving external grant support from an agency with a RCRS training requirement, they MUST follow the requirements set forth by the agency.</w:t>
      </w:r>
      <w:r>
        <w:rPr>
          <w:spacing w:val="-12"/>
        </w:rPr>
        <w:t> </w:t>
      </w:r>
      <w:r>
        <w:rPr/>
        <w:t>For</w:t>
      </w:r>
      <w:r>
        <w:rPr>
          <w:spacing w:val="-10"/>
        </w:rPr>
        <w:t> </w:t>
      </w:r>
      <w:r>
        <w:rPr/>
        <w:t>example,</w:t>
      </w:r>
      <w:r>
        <w:rPr>
          <w:spacing w:val="-9"/>
        </w:rPr>
        <w:t> </w:t>
      </w:r>
      <w:r>
        <w:rPr/>
        <w:t>both</w:t>
      </w:r>
      <w:r>
        <w:rPr>
          <w:spacing w:val="-14"/>
        </w:rPr>
        <w:t> </w:t>
      </w:r>
      <w:r>
        <w:rPr/>
        <w:t>NIH</w:t>
      </w:r>
      <w:r>
        <w:rPr>
          <w:spacing w:val="-13"/>
        </w:rPr>
        <w:t> </w:t>
      </w:r>
      <w:r>
        <w:rPr/>
        <w:t>and</w:t>
      </w:r>
      <w:r>
        <w:rPr>
          <w:spacing w:val="-13"/>
        </w:rPr>
        <w:t> </w:t>
      </w:r>
      <w:r>
        <w:rPr/>
        <w:t>NSF</w:t>
      </w:r>
      <w:r>
        <w:rPr>
          <w:spacing w:val="-13"/>
        </w:rPr>
        <w:t> </w:t>
      </w:r>
      <w:r>
        <w:rPr/>
        <w:t>have</w:t>
      </w:r>
      <w:r>
        <w:rPr>
          <w:spacing w:val="-12"/>
        </w:rPr>
        <w:t> </w:t>
      </w:r>
      <w:r>
        <w:rPr/>
        <w:t>training</w:t>
      </w:r>
      <w:r>
        <w:rPr>
          <w:spacing w:val="-10"/>
        </w:rPr>
        <w:t> </w:t>
      </w:r>
      <w:r>
        <w:rPr/>
        <w:t>requirements</w:t>
      </w:r>
      <w:r>
        <w:rPr>
          <w:spacing w:val="-10"/>
        </w:rPr>
        <w:t> </w:t>
      </w:r>
      <w:r>
        <w:rPr/>
        <w:t>for</w:t>
      </w:r>
      <w:r>
        <w:rPr>
          <w:spacing w:val="-11"/>
        </w:rPr>
        <w:t> </w:t>
      </w:r>
      <w:r>
        <w:rPr/>
        <w:t>whom</w:t>
      </w:r>
      <w:r>
        <w:rPr>
          <w:spacing w:val="-9"/>
        </w:rPr>
        <w:t> </w:t>
      </w:r>
      <w:r>
        <w:rPr/>
        <w:t>they consider “trainees”. It is important for individuals to review the RCRS training policies set forth by the agencies funding their research.</w:t>
      </w:r>
    </w:p>
    <w:p>
      <w:pPr>
        <w:pStyle w:val="Heading1"/>
        <w:spacing w:before="273"/>
        <w:rPr>
          <w:b w:val="0"/>
        </w:rPr>
      </w:pPr>
      <w:r>
        <w:rPr/>
        <w:t>School</w:t>
      </w:r>
      <w:r>
        <w:rPr>
          <w:spacing w:val="-12"/>
        </w:rPr>
        <w:t> </w:t>
      </w:r>
      <w:r>
        <w:rPr/>
        <w:t>of</w:t>
      </w:r>
      <w:r>
        <w:rPr>
          <w:spacing w:val="-7"/>
        </w:rPr>
        <w:t> </w:t>
      </w:r>
      <w:r>
        <w:rPr/>
        <w:t>Communication</w:t>
      </w:r>
      <w:r>
        <w:rPr>
          <w:spacing w:val="-9"/>
        </w:rPr>
        <w:t> </w:t>
      </w:r>
      <w:r>
        <w:rPr/>
        <w:t>&amp;</w:t>
      </w:r>
      <w:r>
        <w:rPr>
          <w:spacing w:val="-4"/>
        </w:rPr>
        <w:t> </w:t>
      </w:r>
      <w:r>
        <w:rPr/>
        <w:t>Journalism</w:t>
      </w:r>
      <w:r>
        <w:rPr>
          <w:spacing w:val="-6"/>
        </w:rPr>
        <w:t> </w:t>
      </w:r>
      <w:r>
        <w:rPr/>
        <w:t>training</w:t>
      </w:r>
      <w:r>
        <w:rPr>
          <w:spacing w:val="-5"/>
        </w:rPr>
        <w:t> </w:t>
      </w:r>
      <w:r>
        <w:rPr>
          <w:spacing w:val="-2"/>
        </w:rPr>
        <w:t>requirements</w:t>
      </w:r>
      <w:r>
        <w:rPr>
          <w:b w:val="0"/>
          <w:spacing w:val="-2"/>
        </w:rPr>
        <w:t>:</w:t>
      </w:r>
    </w:p>
    <w:p>
      <w:pPr>
        <w:pStyle w:val="BodyText"/>
        <w:spacing w:before="7"/>
        <w:ind w:right="83"/>
      </w:pPr>
      <w:r>
        <w:rPr/>
        <w:t>One-time completion of the on-line CITI training module titled “Responsible Conduct</w:t>
      </w:r>
      <w:r>
        <w:rPr>
          <w:spacing w:val="-14"/>
        </w:rPr>
        <w:t> </w:t>
      </w:r>
      <w:r>
        <w:rPr/>
        <w:t>of</w:t>
      </w:r>
      <w:r>
        <w:rPr>
          <w:spacing w:val="-12"/>
        </w:rPr>
        <w:t> </w:t>
      </w:r>
      <w:r>
        <w:rPr/>
        <w:t>Research”</w:t>
      </w:r>
      <w:r>
        <w:rPr>
          <w:spacing w:val="-10"/>
        </w:rPr>
        <w:t> </w:t>
      </w:r>
      <w:r>
        <w:rPr/>
        <w:t>-</w:t>
      </w:r>
      <w:r>
        <w:rPr>
          <w:spacing w:val="-14"/>
        </w:rPr>
        <w:t> </w:t>
      </w:r>
      <w:r>
        <w:rPr/>
        <w:t>“Social</w:t>
      </w:r>
      <w:r>
        <w:rPr>
          <w:spacing w:val="-12"/>
        </w:rPr>
        <w:t> </w:t>
      </w:r>
      <w:r>
        <w:rPr/>
        <w:t>and</w:t>
      </w:r>
      <w:r>
        <w:rPr>
          <w:spacing w:val="-11"/>
        </w:rPr>
        <w:t> </w:t>
      </w:r>
      <w:r>
        <w:rPr/>
        <w:t>Behavioral</w:t>
      </w:r>
      <w:r>
        <w:rPr>
          <w:spacing w:val="-11"/>
        </w:rPr>
        <w:t> </w:t>
      </w:r>
      <w:r>
        <w:rPr/>
        <w:t>Sciences”</w:t>
      </w:r>
      <w:r>
        <w:rPr>
          <w:spacing w:val="-11"/>
        </w:rPr>
        <w:t> </w:t>
      </w:r>
      <w:r>
        <w:rPr/>
        <w:t>is</w:t>
      </w:r>
      <w:r>
        <w:rPr>
          <w:spacing w:val="-11"/>
        </w:rPr>
        <w:t> </w:t>
      </w:r>
      <w:r>
        <w:rPr/>
        <w:t>expected</w:t>
      </w:r>
      <w:r>
        <w:rPr>
          <w:spacing w:val="-9"/>
        </w:rPr>
        <w:t> </w:t>
      </w:r>
      <w:r>
        <w:rPr/>
        <w:t>of</w:t>
      </w:r>
      <w:r>
        <w:rPr>
          <w:spacing w:val="-11"/>
        </w:rPr>
        <w:t> </w:t>
      </w:r>
      <w:r>
        <w:rPr/>
        <w:t>all</w:t>
      </w:r>
      <w:r>
        <w:rPr>
          <w:spacing w:val="-10"/>
        </w:rPr>
        <w:t> </w:t>
      </w:r>
      <w:r>
        <w:rPr/>
        <w:t>students and faculty engaged in scholarship and research.</w:t>
      </w:r>
    </w:p>
    <w:p>
      <w:pPr>
        <w:pStyle w:val="Heading1"/>
        <w:spacing w:before="279"/>
      </w:pPr>
      <w:r>
        <w:rPr>
          <w:spacing w:val="-2"/>
        </w:rPr>
        <w:t>Students</w:t>
      </w:r>
    </w:p>
    <w:p>
      <w:pPr>
        <w:pStyle w:val="BodyText"/>
        <w:spacing w:before="2"/>
      </w:pPr>
      <w:r>
        <w:rPr>
          <w:spacing w:val="-2"/>
          <w:u w:val="single"/>
        </w:rPr>
        <w:t>Undergraduates</w:t>
      </w:r>
      <w:r>
        <w:rPr>
          <w:spacing w:val="-2"/>
          <w:u w:val="none"/>
        </w:rPr>
        <w:t>:</w:t>
      </w:r>
    </w:p>
    <w:p>
      <w:pPr>
        <w:pStyle w:val="BodyText"/>
        <w:spacing w:before="2"/>
      </w:pPr>
      <w:r>
        <w:rPr/>
        <w:t>Undergraduate</w:t>
      </w:r>
      <w:r>
        <w:rPr>
          <w:spacing w:val="-3"/>
        </w:rPr>
        <w:t> </w:t>
      </w:r>
      <w:r>
        <w:rPr/>
        <w:t>students</w:t>
      </w:r>
      <w:r>
        <w:rPr>
          <w:spacing w:val="-3"/>
        </w:rPr>
        <w:t> </w:t>
      </w:r>
      <w:r>
        <w:rPr/>
        <w:t>engaged</w:t>
      </w:r>
      <w:r>
        <w:rPr>
          <w:spacing w:val="-3"/>
        </w:rPr>
        <w:t> </w:t>
      </w:r>
      <w:r>
        <w:rPr/>
        <w:t>in</w:t>
      </w:r>
      <w:r>
        <w:rPr>
          <w:spacing w:val="-3"/>
        </w:rPr>
        <w:t> </w:t>
      </w:r>
      <w:r>
        <w:rPr/>
        <w:t>research</w:t>
      </w:r>
      <w:r>
        <w:rPr>
          <w:spacing w:val="-3"/>
        </w:rPr>
        <w:t> </w:t>
      </w:r>
      <w:r>
        <w:rPr/>
        <w:t>or</w:t>
      </w:r>
      <w:r>
        <w:rPr>
          <w:spacing w:val="-3"/>
        </w:rPr>
        <w:t> </w:t>
      </w:r>
      <w:r>
        <w:rPr/>
        <w:t>scholarship</w:t>
      </w:r>
      <w:r>
        <w:rPr>
          <w:spacing w:val="-3"/>
        </w:rPr>
        <w:t> </w:t>
      </w:r>
      <w:r>
        <w:rPr/>
        <w:t>will</w:t>
      </w:r>
      <w:r>
        <w:rPr>
          <w:spacing w:val="-3"/>
        </w:rPr>
        <w:t> </w:t>
      </w:r>
      <w:r>
        <w:rPr/>
        <w:t>complete</w:t>
      </w:r>
      <w:r>
        <w:rPr>
          <w:spacing w:val="-3"/>
        </w:rPr>
        <w:t> </w:t>
      </w:r>
      <w:r>
        <w:rPr/>
        <w:t>the</w:t>
      </w:r>
      <w:r>
        <w:rPr>
          <w:spacing w:val="-3"/>
        </w:rPr>
        <w:t> </w:t>
      </w:r>
      <w:r>
        <w:rPr/>
        <w:t>CITI training</w:t>
      </w:r>
      <w:r>
        <w:rPr>
          <w:spacing w:val="-14"/>
        </w:rPr>
        <w:t> </w:t>
      </w:r>
      <w:r>
        <w:rPr/>
        <w:t>modules</w:t>
      </w:r>
      <w:r>
        <w:rPr>
          <w:spacing w:val="-13"/>
        </w:rPr>
        <w:t> </w:t>
      </w:r>
      <w:r>
        <w:rPr/>
        <w:t>independently.</w:t>
      </w:r>
      <w:r>
        <w:rPr>
          <w:spacing w:val="-13"/>
        </w:rPr>
        <w:t> </w:t>
      </w:r>
      <w:r>
        <w:rPr/>
        <w:t>If</w:t>
      </w:r>
      <w:r>
        <w:rPr>
          <w:spacing w:val="-13"/>
        </w:rPr>
        <w:t> </w:t>
      </w:r>
      <w:r>
        <w:rPr/>
        <w:t>research</w:t>
      </w:r>
      <w:r>
        <w:rPr>
          <w:spacing w:val="-14"/>
        </w:rPr>
        <w:t> </w:t>
      </w:r>
      <w:r>
        <w:rPr/>
        <w:t>or</w:t>
      </w:r>
      <w:r>
        <w:rPr>
          <w:spacing w:val="-14"/>
        </w:rPr>
        <w:t> </w:t>
      </w:r>
      <w:r>
        <w:rPr/>
        <w:t>scholarly</w:t>
      </w:r>
      <w:r>
        <w:rPr>
          <w:spacing w:val="-8"/>
        </w:rPr>
        <w:t> </w:t>
      </w:r>
      <w:r>
        <w:rPr/>
        <w:t>activities</w:t>
      </w:r>
      <w:r>
        <w:rPr>
          <w:spacing w:val="-9"/>
        </w:rPr>
        <w:t> </w:t>
      </w:r>
      <w:r>
        <w:rPr/>
        <w:t>are</w:t>
      </w:r>
      <w:r>
        <w:rPr>
          <w:spacing w:val="-14"/>
        </w:rPr>
        <w:t> </w:t>
      </w:r>
      <w:r>
        <w:rPr/>
        <w:t>conducted</w:t>
      </w:r>
      <w:r>
        <w:rPr>
          <w:spacing w:val="-10"/>
        </w:rPr>
        <w:t> </w:t>
      </w:r>
      <w:r>
        <w:rPr/>
        <w:t>as part of a class, that class will include the CITI training modules as part of its curriculum.</w:t>
      </w:r>
      <w:r>
        <w:rPr>
          <w:spacing w:val="-2"/>
        </w:rPr>
        <w:t> </w:t>
      </w:r>
      <w:r>
        <w:rPr/>
        <w:t>The</w:t>
      </w:r>
      <w:r>
        <w:rPr>
          <w:spacing w:val="-2"/>
        </w:rPr>
        <w:t> </w:t>
      </w:r>
      <w:r>
        <w:rPr/>
        <w:t>training</w:t>
      </w:r>
      <w:r>
        <w:rPr>
          <w:spacing w:val="-3"/>
        </w:rPr>
        <w:t> </w:t>
      </w:r>
      <w:r>
        <w:rPr/>
        <w:t>will</w:t>
      </w:r>
      <w:r>
        <w:rPr>
          <w:spacing w:val="-2"/>
        </w:rPr>
        <w:t> </w:t>
      </w:r>
      <w:r>
        <w:rPr/>
        <w:t>be</w:t>
      </w:r>
      <w:r>
        <w:rPr>
          <w:spacing w:val="-3"/>
        </w:rPr>
        <w:t> </w:t>
      </w:r>
      <w:r>
        <w:rPr/>
        <w:t>done</w:t>
      </w:r>
      <w:r>
        <w:rPr>
          <w:spacing w:val="-3"/>
        </w:rPr>
        <w:t> </w:t>
      </w:r>
      <w:r>
        <w:rPr/>
        <w:t>by</w:t>
      </w:r>
      <w:r>
        <w:rPr>
          <w:spacing w:val="-3"/>
        </w:rPr>
        <w:t> </w:t>
      </w:r>
      <w:r>
        <w:rPr/>
        <w:t>the</w:t>
      </w:r>
      <w:r>
        <w:rPr>
          <w:spacing w:val="-3"/>
        </w:rPr>
        <w:t> </w:t>
      </w:r>
      <w:r>
        <w:rPr/>
        <w:t>end</w:t>
      </w:r>
      <w:r>
        <w:rPr>
          <w:spacing w:val="-3"/>
        </w:rPr>
        <w:t> </w:t>
      </w:r>
      <w:r>
        <w:rPr/>
        <w:t>of</w:t>
      </w:r>
      <w:r>
        <w:rPr>
          <w:spacing w:val="-4"/>
        </w:rPr>
        <w:t> </w:t>
      </w:r>
      <w:r>
        <w:rPr/>
        <w:t>the</w:t>
      </w:r>
      <w:r>
        <w:rPr>
          <w:spacing w:val="-6"/>
        </w:rPr>
        <w:t> </w:t>
      </w:r>
      <w:r>
        <w:rPr/>
        <w:t>first</w:t>
      </w:r>
      <w:r>
        <w:rPr>
          <w:spacing w:val="-2"/>
        </w:rPr>
        <w:t> </w:t>
      </w:r>
      <w:r>
        <w:rPr/>
        <w:t>4</w:t>
      </w:r>
      <w:r>
        <w:rPr>
          <w:spacing w:val="-2"/>
        </w:rPr>
        <w:t> </w:t>
      </w:r>
      <w:r>
        <w:rPr/>
        <w:t>weeks</w:t>
      </w:r>
      <w:r>
        <w:rPr>
          <w:spacing w:val="-2"/>
        </w:rPr>
        <w:t> </w:t>
      </w:r>
      <w:r>
        <w:rPr/>
        <w:t>in</w:t>
      </w:r>
      <w:r>
        <w:rPr>
          <w:spacing w:val="-2"/>
        </w:rPr>
        <w:t> </w:t>
      </w:r>
      <w:r>
        <w:rPr/>
        <w:t>class.</w:t>
      </w:r>
      <w:r>
        <w:rPr>
          <w:spacing w:val="-2"/>
        </w:rPr>
        <w:t> </w:t>
      </w:r>
      <w:r>
        <w:rPr/>
        <w:t>It</w:t>
      </w:r>
      <w:r>
        <w:rPr>
          <w:spacing w:val="-2"/>
        </w:rPr>
        <w:t> </w:t>
      </w:r>
      <w:r>
        <w:rPr/>
        <w:t>will not be graded, but students will not be able to pass the course without having completed the online training.</w:t>
      </w:r>
    </w:p>
    <w:p>
      <w:pPr>
        <w:pStyle w:val="BodyText"/>
        <w:spacing w:before="3"/>
      </w:pPr>
    </w:p>
    <w:p>
      <w:pPr>
        <w:pStyle w:val="BodyText"/>
      </w:pPr>
      <w:r>
        <w:rPr>
          <w:u w:val="single"/>
        </w:rPr>
        <w:t>Master’s</w:t>
      </w:r>
      <w:r>
        <w:rPr>
          <w:spacing w:val="-11"/>
          <w:u w:val="single"/>
        </w:rPr>
        <w:t> </w:t>
      </w:r>
      <w:r>
        <w:rPr>
          <w:spacing w:val="-2"/>
          <w:u w:val="single"/>
        </w:rPr>
        <w:t>students</w:t>
      </w:r>
      <w:r>
        <w:rPr>
          <w:spacing w:val="-2"/>
          <w:u w:val="none"/>
        </w:rPr>
        <w:t>:</w:t>
      </w:r>
    </w:p>
    <w:p>
      <w:pPr>
        <w:pStyle w:val="BodyText"/>
        <w:spacing w:before="2"/>
      </w:pPr>
      <w:r>
        <w:rPr/>
        <w:t>Master of Science Communication students engaged in research or scholarship will complete</w:t>
      </w:r>
      <w:r>
        <w:rPr>
          <w:spacing w:val="-11"/>
        </w:rPr>
        <w:t> </w:t>
      </w:r>
      <w:r>
        <w:rPr/>
        <w:t>the</w:t>
      </w:r>
      <w:r>
        <w:rPr>
          <w:spacing w:val="-13"/>
        </w:rPr>
        <w:t> </w:t>
      </w:r>
      <w:r>
        <w:rPr/>
        <w:t>CITI</w:t>
      </w:r>
      <w:r>
        <w:rPr>
          <w:spacing w:val="-8"/>
        </w:rPr>
        <w:t> </w:t>
      </w:r>
      <w:r>
        <w:rPr/>
        <w:t>training</w:t>
      </w:r>
      <w:r>
        <w:rPr>
          <w:spacing w:val="-7"/>
        </w:rPr>
        <w:t> </w:t>
      </w:r>
      <w:r>
        <w:rPr/>
        <w:t>as</w:t>
      </w:r>
      <w:r>
        <w:rPr>
          <w:spacing w:val="-14"/>
        </w:rPr>
        <w:t> </w:t>
      </w:r>
      <w:r>
        <w:rPr/>
        <w:t>part</w:t>
      </w:r>
      <w:r>
        <w:rPr>
          <w:spacing w:val="-10"/>
        </w:rPr>
        <w:t> </w:t>
      </w:r>
      <w:r>
        <w:rPr/>
        <w:t>of</w:t>
      </w:r>
      <w:r>
        <w:rPr>
          <w:spacing w:val="-10"/>
        </w:rPr>
        <w:t> </w:t>
      </w:r>
      <w:r>
        <w:rPr/>
        <w:t>their</w:t>
      </w:r>
      <w:r>
        <w:rPr>
          <w:spacing w:val="-9"/>
        </w:rPr>
        <w:t> </w:t>
      </w:r>
      <w:r>
        <w:rPr/>
        <w:t>appropriate</w:t>
      </w:r>
      <w:r>
        <w:rPr>
          <w:spacing w:val="-13"/>
        </w:rPr>
        <w:t> </w:t>
      </w:r>
      <w:r>
        <w:rPr/>
        <w:t>coursework.</w:t>
      </w:r>
      <w:r>
        <w:rPr>
          <w:spacing w:val="-9"/>
        </w:rPr>
        <w:t> </w:t>
      </w:r>
      <w:r>
        <w:rPr/>
        <w:t>The</w:t>
      </w:r>
      <w:r>
        <w:rPr>
          <w:spacing w:val="-11"/>
        </w:rPr>
        <w:t> </w:t>
      </w:r>
      <w:r>
        <w:rPr/>
        <w:t>training</w:t>
      </w:r>
      <w:r>
        <w:rPr>
          <w:spacing w:val="-10"/>
        </w:rPr>
        <w:t> </w:t>
      </w:r>
      <w:r>
        <w:rPr/>
        <w:t>will be done by the end of the first 4 weeks in class. It will not be graded, but students will not be able to pass the course without having completed the online training.</w:t>
      </w:r>
    </w:p>
    <w:p>
      <w:pPr>
        <w:pStyle w:val="BodyText"/>
        <w:spacing w:before="281"/>
        <w:ind w:right="83"/>
      </w:pPr>
      <w:r>
        <w:rPr/>
        <w:t>Any</w:t>
      </w:r>
      <w:r>
        <w:rPr>
          <w:spacing w:val="-9"/>
        </w:rPr>
        <w:t> </w:t>
      </w:r>
      <w:r>
        <w:rPr/>
        <w:t>master’s</w:t>
      </w:r>
      <w:r>
        <w:rPr>
          <w:spacing w:val="-10"/>
        </w:rPr>
        <w:t> </w:t>
      </w:r>
      <w:r>
        <w:rPr/>
        <w:t>students</w:t>
      </w:r>
      <w:r>
        <w:rPr>
          <w:spacing w:val="-12"/>
        </w:rPr>
        <w:t> </w:t>
      </w:r>
      <w:r>
        <w:rPr/>
        <w:t>involved</w:t>
      </w:r>
      <w:r>
        <w:rPr>
          <w:spacing w:val="-7"/>
        </w:rPr>
        <w:t> </w:t>
      </w:r>
      <w:r>
        <w:rPr/>
        <w:t>in</w:t>
      </w:r>
      <w:r>
        <w:rPr>
          <w:spacing w:val="-8"/>
        </w:rPr>
        <w:t> </w:t>
      </w:r>
      <w:r>
        <w:rPr/>
        <w:t>research</w:t>
      </w:r>
      <w:r>
        <w:rPr>
          <w:spacing w:val="-6"/>
        </w:rPr>
        <w:t> </w:t>
      </w:r>
      <w:r>
        <w:rPr/>
        <w:t>will</w:t>
      </w:r>
      <w:r>
        <w:rPr>
          <w:spacing w:val="-9"/>
        </w:rPr>
        <w:t> </w:t>
      </w:r>
      <w:r>
        <w:rPr/>
        <w:t>be</w:t>
      </w:r>
      <w:r>
        <w:rPr>
          <w:spacing w:val="-13"/>
        </w:rPr>
        <w:t> </w:t>
      </w:r>
      <w:r>
        <w:rPr/>
        <w:t>required</w:t>
      </w:r>
      <w:r>
        <w:rPr>
          <w:spacing w:val="-7"/>
        </w:rPr>
        <w:t> </w:t>
      </w:r>
      <w:r>
        <w:rPr/>
        <w:t>to</w:t>
      </w:r>
      <w:r>
        <w:rPr>
          <w:spacing w:val="-8"/>
        </w:rPr>
        <w:t> </w:t>
      </w:r>
      <w:r>
        <w:rPr/>
        <w:t>also</w:t>
      </w:r>
      <w:r>
        <w:rPr>
          <w:spacing w:val="-13"/>
        </w:rPr>
        <w:t> </w:t>
      </w:r>
      <w:r>
        <w:rPr/>
        <w:t>have</w:t>
      </w:r>
      <w:r>
        <w:rPr>
          <w:spacing w:val="-12"/>
        </w:rPr>
        <w:t> </w:t>
      </w:r>
      <w:r>
        <w:rPr/>
        <w:t>2</w:t>
      </w:r>
      <w:r>
        <w:rPr>
          <w:spacing w:val="-11"/>
        </w:rPr>
        <w:t> </w:t>
      </w:r>
      <w:r>
        <w:rPr/>
        <w:t>hours</w:t>
      </w:r>
      <w:r>
        <w:rPr>
          <w:spacing w:val="-14"/>
        </w:rPr>
        <w:t> </w:t>
      </w:r>
      <w:r>
        <w:rPr/>
        <w:t>of IPT annually. First year master’s will have this training as part of the course JRN 516: Communication Research Methods. Second year students may participate in the annual IPT provided to the faculty.</w:t>
      </w:r>
    </w:p>
    <w:p>
      <w:pPr>
        <w:pStyle w:val="Heading1"/>
        <w:spacing w:before="271"/>
      </w:pPr>
      <w:r>
        <w:rPr>
          <w:spacing w:val="-2"/>
        </w:rPr>
        <w:t>Faculty</w:t>
      </w:r>
    </w:p>
    <w:p>
      <w:pPr>
        <w:pStyle w:val="BodyText"/>
        <w:spacing w:before="2"/>
      </w:pPr>
      <w:r>
        <w:rPr>
          <w:u w:val="single"/>
        </w:rPr>
        <w:t>Full</w:t>
      </w:r>
      <w:r>
        <w:rPr>
          <w:spacing w:val="-6"/>
          <w:u w:val="single"/>
        </w:rPr>
        <w:t> </w:t>
      </w:r>
      <w:r>
        <w:rPr>
          <w:u w:val="single"/>
        </w:rPr>
        <w:t>and</w:t>
      </w:r>
      <w:r>
        <w:rPr>
          <w:spacing w:val="-6"/>
          <w:u w:val="single"/>
        </w:rPr>
        <w:t> </w:t>
      </w:r>
      <w:r>
        <w:rPr>
          <w:u w:val="single"/>
        </w:rPr>
        <w:t>part-time</w:t>
      </w:r>
      <w:r>
        <w:rPr>
          <w:spacing w:val="-6"/>
          <w:u w:val="single"/>
        </w:rPr>
        <w:t> </w:t>
      </w:r>
      <w:r>
        <w:rPr>
          <w:spacing w:val="-2"/>
          <w:u w:val="single"/>
        </w:rPr>
        <w:t>faculty</w:t>
      </w:r>
    </w:p>
    <w:p>
      <w:pPr>
        <w:pStyle w:val="BodyText"/>
        <w:spacing w:before="6"/>
      </w:pPr>
      <w:r>
        <w:rPr/>
        <w:t>In addition to the one-time CITI training, full and part-time faculty engaged in research or scholarship are expected to take part in 2 hours of IPT annually. Colloquia will be offered monthly by the School of Communication &amp; Journalism to its</w:t>
      </w:r>
      <w:r>
        <w:rPr>
          <w:spacing w:val="-1"/>
        </w:rPr>
        <w:t> </w:t>
      </w:r>
      <w:r>
        <w:rPr/>
        <w:t>faculty</w:t>
      </w:r>
      <w:r>
        <w:rPr>
          <w:spacing w:val="-1"/>
        </w:rPr>
        <w:t> </w:t>
      </w:r>
      <w:r>
        <w:rPr/>
        <w:t>to</w:t>
      </w:r>
      <w:r>
        <w:rPr>
          <w:spacing w:val="-1"/>
        </w:rPr>
        <w:t> </w:t>
      </w:r>
      <w:r>
        <w:rPr/>
        <w:t>fulfill</w:t>
      </w:r>
      <w:r>
        <w:rPr>
          <w:spacing w:val="-1"/>
        </w:rPr>
        <w:t> </w:t>
      </w:r>
      <w:r>
        <w:rPr/>
        <w:t>this</w:t>
      </w:r>
      <w:r>
        <w:rPr>
          <w:spacing w:val="-1"/>
        </w:rPr>
        <w:t> </w:t>
      </w:r>
      <w:r>
        <w:rPr/>
        <w:t>2-hour in person training</w:t>
      </w:r>
      <w:r>
        <w:rPr>
          <w:spacing w:val="-1"/>
        </w:rPr>
        <w:t> </w:t>
      </w:r>
      <w:r>
        <w:rPr/>
        <w:t>requirement. Faculty must attend two</w:t>
      </w:r>
      <w:r>
        <w:rPr>
          <w:spacing w:val="-7"/>
        </w:rPr>
        <w:t> </w:t>
      </w:r>
      <w:r>
        <w:rPr/>
        <w:t>of</w:t>
      </w:r>
      <w:r>
        <w:rPr>
          <w:spacing w:val="-8"/>
        </w:rPr>
        <w:t> </w:t>
      </w:r>
      <w:r>
        <w:rPr/>
        <w:t>these</w:t>
      </w:r>
      <w:r>
        <w:rPr>
          <w:spacing w:val="-10"/>
        </w:rPr>
        <w:t> </w:t>
      </w:r>
      <w:r>
        <w:rPr/>
        <w:t>events</w:t>
      </w:r>
      <w:r>
        <w:rPr>
          <w:spacing w:val="-6"/>
        </w:rPr>
        <w:t> </w:t>
      </w:r>
      <w:r>
        <w:rPr/>
        <w:t>each</w:t>
      </w:r>
      <w:r>
        <w:rPr>
          <w:spacing w:val="-7"/>
        </w:rPr>
        <w:t> </w:t>
      </w:r>
      <w:r>
        <w:rPr/>
        <w:t>academic</w:t>
      </w:r>
      <w:r>
        <w:rPr>
          <w:spacing w:val="-11"/>
        </w:rPr>
        <w:t> </w:t>
      </w:r>
      <w:r>
        <w:rPr/>
        <w:t>year.</w:t>
      </w:r>
      <w:r>
        <w:rPr>
          <w:spacing w:val="-6"/>
        </w:rPr>
        <w:t> </w:t>
      </w:r>
      <w:r>
        <w:rPr/>
        <w:t>A</w:t>
      </w:r>
      <w:r>
        <w:rPr>
          <w:spacing w:val="-7"/>
        </w:rPr>
        <w:t> </w:t>
      </w:r>
      <w:r>
        <w:rPr/>
        <w:t>record</w:t>
      </w:r>
      <w:r>
        <w:rPr>
          <w:spacing w:val="-10"/>
        </w:rPr>
        <w:t> </w:t>
      </w:r>
      <w:r>
        <w:rPr/>
        <w:t>of</w:t>
      </w:r>
      <w:r>
        <w:rPr>
          <w:spacing w:val="-12"/>
        </w:rPr>
        <w:t> </w:t>
      </w:r>
      <w:r>
        <w:rPr/>
        <w:t>IPT</w:t>
      </w:r>
      <w:r>
        <w:rPr>
          <w:spacing w:val="-12"/>
        </w:rPr>
        <w:t> </w:t>
      </w:r>
      <w:r>
        <w:rPr/>
        <w:t>participation</w:t>
      </w:r>
      <w:r>
        <w:rPr>
          <w:spacing w:val="-9"/>
        </w:rPr>
        <w:t> </w:t>
      </w:r>
      <w:r>
        <w:rPr/>
        <w:t>will</w:t>
      </w:r>
      <w:r>
        <w:rPr>
          <w:spacing w:val="-9"/>
        </w:rPr>
        <w:t> </w:t>
      </w:r>
      <w:r>
        <w:rPr/>
        <w:t>be</w:t>
      </w:r>
      <w:r>
        <w:rPr>
          <w:spacing w:val="-12"/>
        </w:rPr>
        <w:t> </w:t>
      </w:r>
      <w:r>
        <w:rPr/>
        <w:t>kept</w:t>
      </w:r>
      <w:r>
        <w:rPr>
          <w:spacing w:val="-11"/>
        </w:rPr>
        <w:t> </w:t>
      </w:r>
      <w:r>
        <w:rPr/>
        <w:t>in the office of the Dean.</w:t>
      </w:r>
    </w:p>
    <w:p>
      <w:pPr>
        <w:pStyle w:val="BodyText"/>
        <w:spacing w:before="280"/>
      </w:pPr>
      <w:r>
        <w:rPr>
          <w:u w:val="single"/>
        </w:rPr>
        <w:t>Adjunct</w:t>
      </w:r>
      <w:r>
        <w:rPr>
          <w:spacing w:val="-6"/>
          <w:u w:val="single"/>
        </w:rPr>
        <w:t> </w:t>
      </w:r>
      <w:r>
        <w:rPr>
          <w:spacing w:val="-2"/>
          <w:u w:val="single"/>
        </w:rPr>
        <w:t>Faculty</w:t>
      </w:r>
    </w:p>
    <w:p>
      <w:pPr>
        <w:pStyle w:val="BodyText"/>
        <w:spacing w:line="232" w:lineRule="auto" w:before="14"/>
        <w:ind w:right="32"/>
      </w:pPr>
      <w:r>
        <w:rPr/>
        <w:t>Adjunct</w:t>
      </w:r>
      <w:r>
        <w:rPr>
          <w:spacing w:val="-14"/>
        </w:rPr>
        <w:t> </w:t>
      </w:r>
      <w:r>
        <w:rPr/>
        <w:t>faculty</w:t>
      </w:r>
      <w:r>
        <w:rPr>
          <w:spacing w:val="-13"/>
        </w:rPr>
        <w:t> </w:t>
      </w:r>
      <w:r>
        <w:rPr/>
        <w:t>members</w:t>
      </w:r>
      <w:r>
        <w:rPr>
          <w:spacing w:val="-6"/>
        </w:rPr>
        <w:t> </w:t>
      </w:r>
      <w:r>
        <w:rPr/>
        <w:t>are</w:t>
      </w:r>
      <w:r>
        <w:rPr>
          <w:spacing w:val="-11"/>
        </w:rPr>
        <w:t> </w:t>
      </w:r>
      <w:r>
        <w:rPr/>
        <w:t>engaged</w:t>
      </w:r>
      <w:r>
        <w:rPr>
          <w:spacing w:val="-7"/>
        </w:rPr>
        <w:t> </w:t>
      </w:r>
      <w:r>
        <w:rPr/>
        <w:t>in</w:t>
      </w:r>
      <w:r>
        <w:rPr>
          <w:spacing w:val="-8"/>
        </w:rPr>
        <w:t> </w:t>
      </w:r>
      <w:r>
        <w:rPr/>
        <w:t>teaching</w:t>
      </w:r>
      <w:r>
        <w:rPr>
          <w:spacing w:val="-12"/>
        </w:rPr>
        <w:t> </w:t>
      </w:r>
      <w:r>
        <w:rPr/>
        <w:t>at</w:t>
      </w:r>
      <w:r>
        <w:rPr>
          <w:spacing w:val="-10"/>
        </w:rPr>
        <w:t> </w:t>
      </w:r>
      <w:r>
        <w:rPr/>
        <w:t>the</w:t>
      </w:r>
      <w:r>
        <w:rPr>
          <w:spacing w:val="-13"/>
        </w:rPr>
        <w:t> </w:t>
      </w:r>
      <w:r>
        <w:rPr/>
        <w:t>School</w:t>
      </w:r>
      <w:r>
        <w:rPr>
          <w:spacing w:val="-9"/>
        </w:rPr>
        <w:t> </w:t>
      </w:r>
      <w:r>
        <w:rPr/>
        <w:t>and</w:t>
      </w:r>
      <w:r>
        <w:rPr>
          <w:spacing w:val="-14"/>
        </w:rPr>
        <w:t> </w:t>
      </w:r>
      <w:r>
        <w:rPr/>
        <w:t>are</w:t>
      </w:r>
      <w:r>
        <w:rPr>
          <w:spacing w:val="-11"/>
        </w:rPr>
        <w:t> </w:t>
      </w:r>
      <w:r>
        <w:rPr/>
        <w:t>not</w:t>
      </w:r>
      <w:r>
        <w:rPr>
          <w:spacing w:val="-10"/>
        </w:rPr>
        <w:t> </w:t>
      </w:r>
      <w:r>
        <w:rPr/>
        <w:t>involved in research or scholarship. Thus, adjunct faculty members are required only to</w:t>
      </w:r>
    </w:p>
    <w:p>
      <w:pPr>
        <w:pStyle w:val="BodyText"/>
        <w:spacing w:after="0" w:line="232" w:lineRule="auto"/>
        <w:sectPr>
          <w:pgSz w:w="12240" w:h="15840"/>
          <w:pgMar w:header="0" w:footer="801" w:top="1360" w:bottom="1000" w:left="1800" w:right="1800"/>
        </w:sectPr>
      </w:pPr>
    </w:p>
    <w:p>
      <w:pPr>
        <w:pStyle w:val="BodyText"/>
        <w:spacing w:before="77"/>
        <w:ind w:right="257"/>
        <w:jc w:val="both"/>
      </w:pPr>
      <w:r>
        <w:rPr/>
        <w:t>complete</w:t>
      </w:r>
      <w:r>
        <w:rPr>
          <w:spacing w:val="-8"/>
        </w:rPr>
        <w:t> </w:t>
      </w:r>
      <w:r>
        <w:rPr/>
        <w:t>the</w:t>
      </w:r>
      <w:r>
        <w:rPr>
          <w:spacing w:val="-8"/>
        </w:rPr>
        <w:t> </w:t>
      </w:r>
      <w:r>
        <w:rPr/>
        <w:t>online</w:t>
      </w:r>
      <w:r>
        <w:rPr>
          <w:spacing w:val="-8"/>
        </w:rPr>
        <w:t> </w:t>
      </w:r>
      <w:r>
        <w:rPr/>
        <w:t>CITI</w:t>
      </w:r>
      <w:r>
        <w:rPr>
          <w:spacing w:val="-8"/>
        </w:rPr>
        <w:t> </w:t>
      </w:r>
      <w:r>
        <w:rPr/>
        <w:t>training</w:t>
      </w:r>
      <w:r>
        <w:rPr>
          <w:spacing w:val="-6"/>
        </w:rPr>
        <w:t> </w:t>
      </w:r>
      <w:r>
        <w:rPr/>
        <w:t>if</w:t>
      </w:r>
      <w:r>
        <w:rPr>
          <w:spacing w:val="-7"/>
        </w:rPr>
        <w:t> </w:t>
      </w:r>
      <w:r>
        <w:rPr/>
        <w:t>their</w:t>
      </w:r>
      <w:r>
        <w:rPr>
          <w:spacing w:val="-7"/>
        </w:rPr>
        <w:t> </w:t>
      </w:r>
      <w:r>
        <w:rPr/>
        <w:t>activities</w:t>
      </w:r>
      <w:r>
        <w:rPr>
          <w:spacing w:val="-6"/>
        </w:rPr>
        <w:t> </w:t>
      </w:r>
      <w:r>
        <w:rPr/>
        <w:t>involve</w:t>
      </w:r>
      <w:r>
        <w:rPr>
          <w:spacing w:val="-8"/>
        </w:rPr>
        <w:t> </w:t>
      </w:r>
      <w:r>
        <w:rPr/>
        <w:t>research</w:t>
      </w:r>
      <w:r>
        <w:rPr>
          <w:spacing w:val="-5"/>
        </w:rPr>
        <w:t> </w:t>
      </w:r>
      <w:r>
        <w:rPr/>
        <w:t>or</w:t>
      </w:r>
      <w:r>
        <w:rPr>
          <w:spacing w:val="-9"/>
        </w:rPr>
        <w:t> </w:t>
      </w:r>
      <w:r>
        <w:rPr/>
        <w:t>scholarship. They are not required to take part in IPT. Adjunct faculty members should submit their completion reports to the office of the Dean.</w:t>
      </w:r>
    </w:p>
    <w:sectPr>
      <w:pgSz w:w="12240" w:h="15840"/>
      <w:pgMar w:header="0" w:footer="801" w:top="1360" w:bottom="100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6368">
              <wp:simplePos x="0" y="0"/>
              <wp:positionH relativeFrom="page">
                <wp:posOffset>1127760</wp:posOffset>
              </wp:positionH>
              <wp:positionV relativeFrom="page">
                <wp:posOffset>9410162</wp:posOffset>
              </wp:positionV>
              <wp:extent cx="99758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97585" cy="204470"/>
                      </a:xfrm>
                      <a:prstGeom prst="rect">
                        <a:avLst/>
                      </a:prstGeom>
                    </wps:spPr>
                    <wps:txbx>
                      <w:txbxContent>
                        <w:p>
                          <w:pPr>
                            <w:pStyle w:val="BodyText"/>
                            <w:spacing w:before="20"/>
                            <w:ind w:left="20"/>
                          </w:pPr>
                          <w:r>
                            <w:rPr/>
                            <w:t>February</w:t>
                          </w:r>
                          <w:r>
                            <w:rPr>
                              <w:spacing w:val="-4"/>
                            </w:rPr>
                            <w:t>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800056pt;margin-top:740.957642pt;width:78.55pt;height:16.1pt;mso-position-horizontal-relative:page;mso-position-vertical-relative:page;z-index:-15770112" type="#_x0000_t202" id="docshape1" filled="false" stroked="false">
              <v:textbox inset="0,0,0,0">
                <w:txbxContent>
                  <w:p>
                    <w:pPr>
                      <w:pStyle w:val="BodyText"/>
                      <w:spacing w:before="20"/>
                      <w:ind w:left="20"/>
                    </w:pPr>
                    <w:r>
                      <w:rPr/>
                      <w:t>February</w:t>
                    </w:r>
                    <w:r>
                      <w:rPr>
                        <w:spacing w:val="-4"/>
                      </w:rPr>
                      <w:t> 2026</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2026-03-13T14:32:55Z</dcterms:created>
  <dcterms:modified xsi:type="dcterms:W3CDTF">2026-03-13T14:32:55Z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LastSaved">
    <vt:filetime>2026-03-13T00:00:00Z</vt:filetime>
  </property>
  <property fmtid="{D5CDD505-2E9C-101B-9397-08002B2CF9AE}" pid="4" name="Producer">
    <vt:lpwstr>macOS Version 13.1 (Build 22C65) Quartz PDFContext</vt:lpwstr>
  </property>
</Properties>
</file>