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316" w:lineRule="auto"/>
      </w:pPr>
      <w:r>
        <w:rPr/>
        <w:t>ESE</w:t>
      </w:r>
      <w:r>
        <w:rPr>
          <w:spacing w:val="-8"/>
        </w:rPr>
        <w:t> </w:t>
      </w:r>
      <w:r>
        <w:rPr/>
        <w:t>323</w:t>
      </w:r>
      <w:r>
        <w:rPr>
          <w:spacing w:val="-8"/>
        </w:rPr>
        <w:t> </w:t>
      </w:r>
      <w:r>
        <w:rPr/>
        <w:t>-</w:t>
      </w:r>
      <w:r>
        <w:rPr>
          <w:spacing w:val="-8"/>
        </w:rPr>
        <w:t> </w:t>
      </w:r>
      <w:r>
        <w:rPr/>
        <w:t>Modern</w:t>
      </w:r>
      <w:r>
        <w:rPr>
          <w:spacing w:val="-8"/>
        </w:rPr>
        <w:t> </w:t>
      </w:r>
      <w:r>
        <w:rPr/>
        <w:t>circuit</w:t>
      </w:r>
      <w:r>
        <w:rPr>
          <w:spacing w:val="-8"/>
        </w:rPr>
        <w:t> </w:t>
      </w:r>
      <w:r>
        <w:rPr/>
        <w:t>board</w:t>
      </w:r>
      <w:r>
        <w:rPr>
          <w:spacing w:val="-8"/>
        </w:rPr>
        <w:t> </w:t>
      </w:r>
      <w:r>
        <w:rPr/>
        <w:t>design</w:t>
      </w:r>
      <w:r>
        <w:rPr>
          <w:spacing w:val="-8"/>
        </w:rPr>
        <w:t> </w:t>
      </w:r>
      <w:r>
        <w:rPr/>
        <w:t>and</w:t>
      </w:r>
      <w:r>
        <w:rPr>
          <w:spacing w:val="-8"/>
        </w:rPr>
        <w:t> </w:t>
      </w:r>
      <w:r>
        <w:rPr/>
        <w:t>prototyping Syllabus for Fall 2025</w:t>
      </w:r>
    </w:p>
    <w:p>
      <w:pPr>
        <w:pStyle w:val="BodyText"/>
        <w:spacing w:line="244" w:lineRule="auto" w:before="131"/>
        <w:ind w:right="137"/>
        <w:jc w:val="both"/>
      </w:pPr>
      <w:r>
        <w:rPr>
          <w:b/>
        </w:rPr>
        <w:t>Bulle%n Descrip%on: </w:t>
      </w:r>
      <w:r>
        <w:rPr/>
        <w:t>Design, fabricate, and test a prototype device using a custom-made circuit board, surface mount components, and a 3D printed enclosure. Topics include printed circuit design, acBve and passive component selecBon, signal integrity, design for testability, solid modeling, and 3D prinBng.</w:t>
      </w:r>
    </w:p>
    <w:p>
      <w:pPr>
        <w:pStyle w:val="BodyText"/>
        <w:spacing w:line="244" w:lineRule="auto" w:before="245"/>
        <w:ind w:right="138"/>
        <w:jc w:val="both"/>
      </w:pPr>
      <w:r>
        <w:rPr>
          <w:b/>
        </w:rPr>
        <w:t>Overview: </w:t>
      </w:r>
      <w:r>
        <w:rPr/>
        <w:t>ESE323 is a design and prototyping course intended to introduce students to modern</w:t>
      </w:r>
      <w:r>
        <w:rPr>
          <w:spacing w:val="-6"/>
        </w:rPr>
        <w:t> </w:t>
      </w:r>
      <w:r>
        <w:rPr/>
        <w:t>circuit</w:t>
      </w:r>
      <w:r>
        <w:rPr>
          <w:spacing w:val="-6"/>
        </w:rPr>
        <w:t> </w:t>
      </w:r>
      <w:r>
        <w:rPr/>
        <w:t>prototyping</w:t>
      </w:r>
      <w:r>
        <w:rPr>
          <w:spacing w:val="-6"/>
        </w:rPr>
        <w:t> </w:t>
      </w:r>
      <w:r>
        <w:rPr/>
        <w:t>techniques</w:t>
      </w:r>
      <w:r>
        <w:rPr>
          <w:spacing w:val="-6"/>
        </w:rPr>
        <w:t> </w:t>
      </w:r>
      <w:r>
        <w:rPr/>
        <w:t>and</w:t>
      </w:r>
      <w:r>
        <w:rPr>
          <w:spacing w:val="-6"/>
        </w:rPr>
        <w:t> </w:t>
      </w:r>
      <w:r>
        <w:rPr/>
        <w:t>surface</w:t>
      </w:r>
      <w:r>
        <w:rPr>
          <w:spacing w:val="-6"/>
        </w:rPr>
        <w:t> </w:t>
      </w:r>
      <w:r>
        <w:rPr/>
        <w:t>mount</w:t>
      </w:r>
      <w:r>
        <w:rPr>
          <w:spacing w:val="-6"/>
        </w:rPr>
        <w:t> </w:t>
      </w:r>
      <w:r>
        <w:rPr/>
        <w:t>device</w:t>
      </w:r>
      <w:r>
        <w:rPr>
          <w:spacing w:val="-6"/>
        </w:rPr>
        <w:t> </w:t>
      </w:r>
      <w:r>
        <w:rPr/>
        <w:t>(SMD)</w:t>
      </w:r>
      <w:r>
        <w:rPr>
          <w:spacing w:val="-6"/>
        </w:rPr>
        <w:t> </w:t>
      </w:r>
      <w:r>
        <w:rPr/>
        <w:t>packaging.</w:t>
      </w:r>
      <w:r>
        <w:rPr>
          <w:spacing w:val="-6"/>
        </w:rPr>
        <w:t> </w:t>
      </w:r>
      <w:r>
        <w:rPr/>
        <w:t>Students will perform experiments on an instructor designed circuit board including:</w:t>
      </w:r>
    </w:p>
    <w:p>
      <w:pPr>
        <w:pStyle w:val="ListParagraph"/>
        <w:numPr>
          <w:ilvl w:val="0"/>
          <w:numId w:val="1"/>
        </w:numPr>
        <w:tabs>
          <w:tab w:pos="888" w:val="left" w:leader="none"/>
        </w:tabs>
        <w:spacing w:line="240" w:lineRule="auto" w:before="243" w:after="0"/>
        <w:ind w:left="888" w:right="0" w:hanging="188"/>
        <w:jc w:val="left"/>
        <w:rPr>
          <w:sz w:val="24"/>
        </w:rPr>
      </w:pPr>
      <w:r>
        <w:rPr>
          <w:sz w:val="24"/>
        </w:rPr>
        <w:t>2</w:t>
      </w:r>
      <w:r>
        <w:rPr>
          <w:spacing w:val="-2"/>
          <w:sz w:val="24"/>
        </w:rPr>
        <w:t> </w:t>
      </w:r>
      <w:r>
        <w:rPr>
          <w:sz w:val="24"/>
        </w:rPr>
        <w:t>terminal</w:t>
      </w:r>
      <w:r>
        <w:rPr>
          <w:spacing w:val="-2"/>
          <w:sz w:val="24"/>
        </w:rPr>
        <w:t> </w:t>
      </w:r>
      <w:r>
        <w:rPr>
          <w:sz w:val="24"/>
        </w:rPr>
        <w:t>SMD</w:t>
      </w:r>
      <w:r>
        <w:rPr>
          <w:spacing w:val="-1"/>
          <w:sz w:val="24"/>
        </w:rPr>
        <w:t> </w:t>
      </w:r>
      <w:r>
        <w:rPr>
          <w:spacing w:val="-2"/>
          <w:sz w:val="24"/>
        </w:rPr>
        <w:t>soldering</w:t>
      </w:r>
    </w:p>
    <w:p>
      <w:pPr>
        <w:pStyle w:val="ListParagraph"/>
        <w:numPr>
          <w:ilvl w:val="0"/>
          <w:numId w:val="1"/>
        </w:numPr>
        <w:tabs>
          <w:tab w:pos="888" w:val="left" w:leader="none"/>
        </w:tabs>
        <w:spacing w:line="240" w:lineRule="auto" w:before="127" w:after="0"/>
        <w:ind w:left="888" w:right="0" w:hanging="188"/>
        <w:jc w:val="left"/>
        <w:rPr>
          <w:sz w:val="24"/>
        </w:rPr>
      </w:pPr>
      <w:r>
        <w:rPr>
          <w:sz w:val="24"/>
        </w:rPr>
        <w:t>Drag</w:t>
      </w:r>
      <w:r>
        <w:rPr>
          <w:spacing w:val="-5"/>
          <w:sz w:val="24"/>
        </w:rPr>
        <w:t> </w:t>
      </w:r>
      <w:r>
        <w:rPr>
          <w:spacing w:val="-2"/>
          <w:sz w:val="24"/>
        </w:rPr>
        <w:t>soldering</w:t>
      </w:r>
    </w:p>
    <w:p>
      <w:pPr>
        <w:pStyle w:val="ListParagraph"/>
        <w:numPr>
          <w:ilvl w:val="0"/>
          <w:numId w:val="1"/>
        </w:numPr>
        <w:tabs>
          <w:tab w:pos="888" w:val="left" w:leader="none"/>
        </w:tabs>
        <w:spacing w:line="240" w:lineRule="auto" w:before="127" w:after="0"/>
        <w:ind w:left="888" w:right="0" w:hanging="188"/>
        <w:jc w:val="left"/>
        <w:rPr>
          <w:sz w:val="24"/>
        </w:rPr>
      </w:pPr>
      <w:r>
        <w:rPr>
          <w:sz w:val="24"/>
        </w:rPr>
        <w:t>Capacitor</w:t>
      </w:r>
      <w:r>
        <w:rPr>
          <w:spacing w:val="-5"/>
          <w:sz w:val="24"/>
        </w:rPr>
        <w:t> </w:t>
      </w:r>
      <w:r>
        <w:rPr>
          <w:sz w:val="24"/>
        </w:rPr>
        <w:t>resonance</w:t>
      </w:r>
      <w:r>
        <w:rPr>
          <w:spacing w:val="-5"/>
          <w:sz w:val="24"/>
        </w:rPr>
        <w:t> </w:t>
      </w:r>
      <w:r>
        <w:rPr>
          <w:sz w:val="24"/>
        </w:rPr>
        <w:t>using</w:t>
      </w:r>
      <w:r>
        <w:rPr>
          <w:spacing w:val="-5"/>
          <w:sz w:val="24"/>
        </w:rPr>
        <w:t> </w:t>
      </w:r>
      <w:r>
        <w:rPr>
          <w:sz w:val="24"/>
        </w:rPr>
        <w:t>vector</w:t>
      </w:r>
      <w:r>
        <w:rPr>
          <w:spacing w:val="-5"/>
          <w:sz w:val="24"/>
        </w:rPr>
        <w:t> </w:t>
      </w:r>
      <w:r>
        <w:rPr>
          <w:sz w:val="24"/>
        </w:rPr>
        <w:t>network</w:t>
      </w:r>
      <w:r>
        <w:rPr>
          <w:spacing w:val="-4"/>
          <w:sz w:val="24"/>
        </w:rPr>
        <w:t> </w:t>
      </w:r>
      <w:r>
        <w:rPr>
          <w:spacing w:val="-2"/>
          <w:sz w:val="24"/>
        </w:rPr>
        <w:t>analyzer</w:t>
      </w:r>
    </w:p>
    <w:p>
      <w:pPr>
        <w:pStyle w:val="ListParagraph"/>
        <w:numPr>
          <w:ilvl w:val="0"/>
          <w:numId w:val="1"/>
        </w:numPr>
        <w:tabs>
          <w:tab w:pos="888" w:val="left" w:leader="none"/>
        </w:tabs>
        <w:spacing w:line="240" w:lineRule="auto" w:before="127" w:after="0"/>
        <w:ind w:left="888" w:right="0" w:hanging="188"/>
        <w:jc w:val="left"/>
        <w:rPr>
          <w:sz w:val="24"/>
        </w:rPr>
      </w:pPr>
      <w:r>
        <w:rPr>
          <w:sz w:val="24"/>
        </w:rPr>
        <w:t>Hot</w:t>
      </w:r>
      <w:r>
        <w:rPr>
          <w:spacing w:val="-2"/>
          <w:sz w:val="24"/>
        </w:rPr>
        <w:t> </w:t>
      </w:r>
      <w:r>
        <w:rPr>
          <w:sz w:val="24"/>
        </w:rPr>
        <w:t>air</w:t>
      </w:r>
      <w:r>
        <w:rPr>
          <w:spacing w:val="-1"/>
          <w:sz w:val="24"/>
        </w:rPr>
        <w:t> </w:t>
      </w:r>
      <w:r>
        <w:rPr>
          <w:spacing w:val="-2"/>
          <w:sz w:val="24"/>
        </w:rPr>
        <w:t>soldering</w:t>
      </w:r>
    </w:p>
    <w:p>
      <w:pPr>
        <w:pStyle w:val="ListParagraph"/>
        <w:numPr>
          <w:ilvl w:val="0"/>
          <w:numId w:val="1"/>
        </w:numPr>
        <w:tabs>
          <w:tab w:pos="888" w:val="left" w:leader="none"/>
        </w:tabs>
        <w:spacing w:line="240" w:lineRule="auto" w:before="127" w:after="0"/>
        <w:ind w:left="888" w:right="0" w:hanging="188"/>
        <w:jc w:val="left"/>
        <w:rPr>
          <w:sz w:val="24"/>
        </w:rPr>
      </w:pPr>
      <w:r>
        <w:rPr>
          <w:sz w:val="24"/>
        </w:rPr>
        <w:t>Thermal</w:t>
      </w:r>
      <w:r>
        <w:rPr>
          <w:spacing w:val="-1"/>
          <w:sz w:val="24"/>
        </w:rPr>
        <w:t> </w:t>
      </w:r>
      <w:r>
        <w:rPr>
          <w:spacing w:val="-2"/>
          <w:sz w:val="24"/>
        </w:rPr>
        <w:t>resistance</w:t>
      </w:r>
    </w:p>
    <w:p>
      <w:pPr>
        <w:pStyle w:val="ListParagraph"/>
        <w:numPr>
          <w:ilvl w:val="0"/>
          <w:numId w:val="1"/>
        </w:numPr>
        <w:tabs>
          <w:tab w:pos="888" w:val="left" w:leader="none"/>
        </w:tabs>
        <w:spacing w:line="240" w:lineRule="auto" w:before="127" w:after="0"/>
        <w:ind w:left="888" w:right="0" w:hanging="188"/>
        <w:jc w:val="left"/>
        <w:rPr>
          <w:sz w:val="24"/>
        </w:rPr>
      </w:pPr>
      <w:r>
        <w:rPr>
          <w:sz w:val="24"/>
        </w:rPr>
        <w:t>Trace</w:t>
      </w:r>
      <w:r>
        <w:rPr>
          <w:spacing w:val="-12"/>
          <w:sz w:val="24"/>
        </w:rPr>
        <w:t> </w:t>
      </w:r>
      <w:r>
        <w:rPr>
          <w:sz w:val="24"/>
        </w:rPr>
        <w:t>layouts</w:t>
      </w:r>
      <w:r>
        <w:rPr>
          <w:spacing w:val="-12"/>
          <w:sz w:val="24"/>
        </w:rPr>
        <w:t> </w:t>
      </w:r>
      <w:r>
        <w:rPr>
          <w:sz w:val="24"/>
        </w:rPr>
        <w:t>around</w:t>
      </w:r>
      <w:r>
        <w:rPr>
          <w:spacing w:val="-11"/>
          <w:sz w:val="24"/>
        </w:rPr>
        <w:t> </w:t>
      </w:r>
      <w:r>
        <w:rPr>
          <w:spacing w:val="-2"/>
          <w:sz w:val="24"/>
        </w:rPr>
        <w:t>inductors</w:t>
      </w:r>
    </w:p>
    <w:p>
      <w:pPr>
        <w:pStyle w:val="ListParagraph"/>
        <w:numPr>
          <w:ilvl w:val="0"/>
          <w:numId w:val="1"/>
        </w:numPr>
        <w:tabs>
          <w:tab w:pos="888" w:val="left" w:leader="none"/>
        </w:tabs>
        <w:spacing w:line="240" w:lineRule="auto" w:before="127" w:after="0"/>
        <w:ind w:left="888" w:right="0" w:hanging="188"/>
        <w:jc w:val="left"/>
        <w:rPr>
          <w:sz w:val="24"/>
        </w:rPr>
      </w:pPr>
      <w:r>
        <w:rPr>
          <w:spacing w:val="-2"/>
          <w:sz w:val="24"/>
        </w:rPr>
        <w:t>Trace</w:t>
      </w:r>
      <w:r>
        <w:rPr>
          <w:spacing w:val="-12"/>
          <w:sz w:val="24"/>
        </w:rPr>
        <w:t> </w:t>
      </w:r>
      <w:r>
        <w:rPr>
          <w:spacing w:val="-2"/>
          <w:sz w:val="24"/>
        </w:rPr>
        <w:t>properBes</w:t>
      </w:r>
    </w:p>
    <w:p>
      <w:pPr>
        <w:pStyle w:val="BodyText"/>
        <w:spacing w:line="244" w:lineRule="auto" w:before="247"/>
        <w:ind w:right="137"/>
        <w:jc w:val="both"/>
      </w:pPr>
      <w:r>
        <w:rPr/>
        <w:t>Concurrently with these experiments students will design their own project. They will progressively create a bill of materials, library, schemaBc diagram, board layout, and enclosure. The board design will be sent out for fabricaBon and the student’s will assemble and test their circuit board. Finally, an enclosure will be 3D printed to complete the prototype design. Students will document their work in a ﬁnal report and presentaBon.</w:t>
      </w:r>
    </w:p>
    <w:p>
      <w:pPr>
        <w:pStyle w:val="BodyText"/>
        <w:spacing w:line="244" w:lineRule="auto" w:before="126"/>
        <w:ind w:right="137"/>
        <w:jc w:val="both"/>
      </w:pPr>
      <w:r>
        <w:rPr/>
        <w:t>ESE280</w:t>
      </w:r>
      <w:r>
        <w:rPr>
          <w:spacing w:val="-4"/>
        </w:rPr>
        <w:t> </w:t>
      </w:r>
      <w:r>
        <w:rPr/>
        <w:t>is</w:t>
      </w:r>
      <w:r>
        <w:rPr>
          <w:spacing w:val="-4"/>
        </w:rPr>
        <w:t> </w:t>
      </w:r>
      <w:r>
        <w:rPr/>
        <w:t>a</w:t>
      </w:r>
      <w:r>
        <w:rPr>
          <w:spacing w:val="-4"/>
        </w:rPr>
        <w:t> </w:t>
      </w:r>
      <w:r>
        <w:rPr/>
        <w:t>pre-requisite</w:t>
      </w:r>
      <w:r>
        <w:rPr>
          <w:spacing w:val="-4"/>
        </w:rPr>
        <w:t> </w:t>
      </w:r>
      <w:r>
        <w:rPr/>
        <w:t>for</w:t>
      </w:r>
      <w:r>
        <w:rPr>
          <w:spacing w:val="-4"/>
        </w:rPr>
        <w:t> </w:t>
      </w:r>
      <w:r>
        <w:rPr/>
        <w:t>this</w:t>
      </w:r>
      <w:r>
        <w:rPr>
          <w:spacing w:val="-4"/>
        </w:rPr>
        <w:t> </w:t>
      </w:r>
      <w:r>
        <w:rPr/>
        <w:t>course.</w:t>
      </w:r>
      <w:r>
        <w:rPr>
          <w:spacing w:val="-4"/>
        </w:rPr>
        <w:t> </w:t>
      </w:r>
      <w:r>
        <w:rPr/>
        <w:t>The</w:t>
      </w:r>
      <w:r>
        <w:rPr>
          <w:spacing w:val="-4"/>
        </w:rPr>
        <w:t> </w:t>
      </w:r>
      <w:r>
        <w:rPr/>
        <w:t>MPLAB</w:t>
      </w:r>
      <w:r>
        <w:rPr>
          <w:spacing w:val="-4"/>
        </w:rPr>
        <w:t> </w:t>
      </w:r>
      <w:r>
        <w:rPr/>
        <w:t>X</w:t>
      </w:r>
      <w:r>
        <w:rPr>
          <w:spacing w:val="-4"/>
        </w:rPr>
        <w:t> </w:t>
      </w:r>
      <w:r>
        <w:rPr/>
        <w:t>integrated</w:t>
      </w:r>
      <w:r>
        <w:rPr>
          <w:spacing w:val="-4"/>
        </w:rPr>
        <w:t> </w:t>
      </w:r>
      <w:r>
        <w:rPr/>
        <w:t>development</w:t>
      </w:r>
      <w:r>
        <w:rPr>
          <w:spacing w:val="-4"/>
        </w:rPr>
        <w:t> </w:t>
      </w:r>
      <w:r>
        <w:rPr/>
        <w:t>environment is installed on the lab computers and Microchip/Atmel programmers will be available in the </w:t>
      </w:r>
      <w:r>
        <w:rPr>
          <w:spacing w:val="-4"/>
        </w:rPr>
        <w:t>lab.</w:t>
      </w:r>
    </w:p>
    <w:p>
      <w:pPr>
        <w:pStyle w:val="BodyText"/>
        <w:spacing w:line="244" w:lineRule="auto" w:before="124"/>
        <w:ind w:right="137"/>
        <w:jc w:val="both"/>
      </w:pPr>
      <w:r>
        <w:rPr/>
        <w:t>We will use Autodesk Fusion 360 for schemaBc entry, circuit board design, and 3D mechanical</w:t>
      </w:r>
      <w:r>
        <w:rPr>
          <w:spacing w:val="-3"/>
        </w:rPr>
        <w:t> </w:t>
      </w:r>
      <w:r>
        <w:rPr/>
        <w:t>design.</w:t>
      </w:r>
      <w:r>
        <w:rPr>
          <w:spacing w:val="-3"/>
        </w:rPr>
        <w:t> </w:t>
      </w:r>
      <w:r>
        <w:rPr/>
        <w:t>This</w:t>
      </w:r>
      <w:r>
        <w:rPr>
          <w:spacing w:val="-3"/>
        </w:rPr>
        <w:t> </w:t>
      </w:r>
      <w:r>
        <w:rPr/>
        <w:t>soZware</w:t>
      </w:r>
      <w:r>
        <w:rPr>
          <w:spacing w:val="-3"/>
        </w:rPr>
        <w:t> </w:t>
      </w:r>
      <w:r>
        <w:rPr/>
        <w:t>may</w:t>
      </w:r>
      <w:r>
        <w:rPr>
          <w:spacing w:val="-3"/>
        </w:rPr>
        <w:t> </w:t>
      </w:r>
      <w:r>
        <w:rPr/>
        <w:t>be</w:t>
      </w:r>
      <w:r>
        <w:rPr>
          <w:spacing w:val="-3"/>
        </w:rPr>
        <w:t> </w:t>
      </w:r>
      <w:r>
        <w:rPr/>
        <w:t>downloaded</w:t>
      </w:r>
      <w:r>
        <w:rPr>
          <w:spacing w:val="-3"/>
        </w:rPr>
        <w:t> </w:t>
      </w:r>
      <w:r>
        <w:rPr/>
        <w:t>at</w:t>
      </w:r>
      <w:r>
        <w:rPr>
          <w:spacing w:val="-3"/>
        </w:rPr>
        <w:t> </w:t>
      </w:r>
      <w:r>
        <w:rPr/>
        <w:t>no</w:t>
      </w:r>
      <w:r>
        <w:rPr>
          <w:spacing w:val="-3"/>
        </w:rPr>
        <w:t> </w:t>
      </w:r>
      <w:r>
        <w:rPr/>
        <w:t>cost</w:t>
      </w:r>
      <w:r>
        <w:rPr>
          <w:spacing w:val="-3"/>
        </w:rPr>
        <w:t> </w:t>
      </w:r>
      <w:r>
        <w:rPr/>
        <w:t>for</w:t>
      </w:r>
      <w:r>
        <w:rPr>
          <w:spacing w:val="-3"/>
        </w:rPr>
        <w:t> </w:t>
      </w:r>
      <w:r>
        <w:rPr/>
        <w:t>students</w:t>
      </w:r>
      <w:r>
        <w:rPr>
          <w:spacing w:val="-3"/>
        </w:rPr>
        <w:t> </w:t>
      </w:r>
      <w:r>
        <w:rPr/>
        <w:t>who</w:t>
      </w:r>
      <w:r>
        <w:rPr>
          <w:spacing w:val="-3"/>
        </w:rPr>
        <w:t> </w:t>
      </w:r>
      <w:r>
        <w:rPr/>
        <w:t>would</w:t>
      </w:r>
      <w:r>
        <w:rPr>
          <w:spacing w:val="-3"/>
        </w:rPr>
        <w:t> </w:t>
      </w:r>
      <w:r>
        <w:rPr/>
        <w:t>like to work on their own computers. This soZware is also available in the CAD lab, the senior design lab (light 283B), and the prototyping lab (light 283A). Students may use any soZware they might prefer and have access to.</w:t>
      </w:r>
    </w:p>
    <w:p>
      <w:pPr>
        <w:pStyle w:val="BodyText"/>
        <w:spacing w:line="244" w:lineRule="auto" w:before="126"/>
        <w:ind w:right="137"/>
        <w:jc w:val="both"/>
      </w:pPr>
      <w:r>
        <w:rPr>
          <w:b/>
        </w:rPr>
        <w:t>Required materials: </w:t>
      </w:r>
      <w:r>
        <w:rPr/>
        <w:t>You will be responsible for purchasing all of the parts for your project – circuit board, integrated circuits, displays, connectors, switches, ba]ery holders, passive components, and whatever else you put in your design. As designer, you will have some control over the cost of your project, but you should plan on spending around $150 on parts. The circuit board itself will cost a minimum of $30 including shipping. The University will provide materials for the 3D printer.</w:t>
      </w:r>
    </w:p>
    <w:p>
      <w:pPr>
        <w:spacing w:after="0" w:line="244" w:lineRule="auto"/>
        <w:jc w:val="both"/>
        <w:sectPr>
          <w:type w:val="continuous"/>
          <w:pgSz w:w="12240" w:h="15840"/>
          <w:pgMar w:top="1380" w:bottom="280" w:left="1340" w:right="1660"/>
        </w:sectPr>
      </w:pPr>
    </w:p>
    <w:p>
      <w:pPr>
        <w:pStyle w:val="Heading1"/>
        <w:ind w:left="100"/>
        <w:jc w:val="left"/>
      </w:pPr>
      <w:r>
        <w:rPr>
          <w:spacing w:val="-2"/>
        </w:rPr>
        <w:t>Recommended</w:t>
      </w:r>
      <w:r>
        <w:rPr>
          <w:spacing w:val="7"/>
        </w:rPr>
        <w:t> </w:t>
      </w:r>
      <w:r>
        <w:rPr>
          <w:spacing w:val="-4"/>
        </w:rPr>
        <w:t>text:</w:t>
      </w:r>
    </w:p>
    <w:p>
      <w:pPr>
        <w:pStyle w:val="BodyText"/>
        <w:spacing w:line="244" w:lineRule="auto" w:before="127"/>
        <w:ind w:left="820"/>
      </w:pPr>
      <w:r>
        <w:rPr/>
        <w:t>Peter</w:t>
      </w:r>
      <w:r>
        <w:rPr>
          <w:spacing w:val="79"/>
        </w:rPr>
        <w:t> </w:t>
      </w:r>
      <w:r>
        <w:rPr/>
        <w:t>Wilson,</w:t>
      </w:r>
      <w:r>
        <w:rPr>
          <w:spacing w:val="79"/>
        </w:rPr>
        <w:t> </w:t>
      </w:r>
      <w:r>
        <w:rPr/>
        <w:t>“The</w:t>
      </w:r>
      <w:r>
        <w:rPr>
          <w:spacing w:val="79"/>
        </w:rPr>
        <w:t> </w:t>
      </w:r>
      <w:r>
        <w:rPr/>
        <w:t>Circuit</w:t>
      </w:r>
      <w:r>
        <w:rPr>
          <w:spacing w:val="79"/>
        </w:rPr>
        <w:t> </w:t>
      </w:r>
      <w:r>
        <w:rPr/>
        <w:t>Designer’s</w:t>
      </w:r>
      <w:r>
        <w:rPr>
          <w:spacing w:val="79"/>
        </w:rPr>
        <w:t> </w:t>
      </w:r>
      <w:r>
        <w:rPr/>
        <w:t>Companion”,</w:t>
      </w:r>
      <w:r>
        <w:rPr>
          <w:spacing w:val="79"/>
        </w:rPr>
        <w:t> </w:t>
      </w:r>
      <w:r>
        <w:rPr/>
        <w:t>4</w:t>
      </w:r>
      <w:r>
        <w:rPr>
          <w:position w:val="5"/>
          <w:sz w:val="16"/>
        </w:rPr>
        <w:t>rd</w:t>
      </w:r>
      <w:r>
        <w:rPr>
          <w:spacing w:val="80"/>
          <w:position w:val="5"/>
          <w:sz w:val="16"/>
        </w:rPr>
        <w:t> </w:t>
      </w:r>
      <w:r>
        <w:rPr/>
        <w:t>ediBon,</w:t>
      </w:r>
      <w:r>
        <w:rPr>
          <w:spacing w:val="79"/>
        </w:rPr>
        <w:t> </w:t>
      </w:r>
      <w:r>
        <w:rPr/>
        <w:t>Newnes,</w:t>
      </w:r>
      <w:r>
        <w:rPr>
          <w:spacing w:val="79"/>
        </w:rPr>
        <w:t> </w:t>
      </w:r>
      <w:r>
        <w:rPr/>
        <w:t>2017. </w:t>
      </w:r>
      <w:r>
        <w:rPr>
          <w:spacing w:val="-2"/>
        </w:rPr>
        <w:t>(recommended)</w:t>
      </w:r>
    </w:p>
    <w:p>
      <w:pPr>
        <w:pStyle w:val="Heading1"/>
        <w:spacing w:before="123"/>
        <w:ind w:left="100"/>
        <w:jc w:val="left"/>
      </w:pPr>
      <w:r>
        <w:rPr>
          <w:spacing w:val="-2"/>
        </w:rPr>
        <w:t>Topics:</w:t>
      </w:r>
    </w:p>
    <w:p>
      <w:pPr>
        <w:pStyle w:val="BodyText"/>
        <w:spacing w:before="5"/>
        <w:ind w:left="0"/>
        <w:rPr>
          <w:b/>
          <w:sz w:val="15"/>
        </w:rPr>
      </w:pPr>
    </w:p>
    <w:tbl>
      <w:tblPr>
        <w:tblW w:w="0" w:type="auto"/>
        <w:jc w:val="left"/>
        <w:tblInd w:w="11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top w:w="0" w:type="dxa"/>
          <w:left w:w="0" w:type="dxa"/>
          <w:bottom w:w="0" w:type="dxa"/>
          <w:right w:w="0" w:type="dxa"/>
        </w:tblCellMar>
        <w:tblLook w:val="01E0"/>
      </w:tblPr>
      <w:tblGrid>
        <w:gridCol w:w="1004"/>
        <w:gridCol w:w="7747"/>
      </w:tblGrid>
      <w:tr>
        <w:trPr>
          <w:trHeight w:val="387" w:hRule="atLeast"/>
        </w:trPr>
        <w:tc>
          <w:tcPr>
            <w:tcW w:w="1004" w:type="dxa"/>
          </w:tcPr>
          <w:p>
            <w:pPr>
              <w:pStyle w:val="TableParagraph"/>
              <w:ind w:right="153"/>
              <w:jc w:val="center"/>
              <w:rPr>
                <w:sz w:val="22"/>
              </w:rPr>
            </w:pPr>
            <w:r>
              <w:rPr>
                <w:sz w:val="22"/>
              </w:rPr>
              <w:t>Week</w:t>
            </w:r>
            <w:r>
              <w:rPr>
                <w:spacing w:val="-9"/>
                <w:sz w:val="22"/>
              </w:rPr>
              <w:t> </w:t>
            </w:r>
            <w:r>
              <w:rPr>
                <w:spacing w:val="-10"/>
                <w:sz w:val="22"/>
              </w:rPr>
              <w:t>1</w:t>
            </w:r>
          </w:p>
        </w:tc>
        <w:tc>
          <w:tcPr>
            <w:tcW w:w="7747" w:type="dxa"/>
          </w:tcPr>
          <w:p>
            <w:pPr>
              <w:pStyle w:val="TableParagraph"/>
              <w:ind w:left="85"/>
              <w:rPr>
                <w:sz w:val="22"/>
              </w:rPr>
            </w:pPr>
            <w:r>
              <w:rPr>
                <w:sz w:val="22"/>
              </w:rPr>
              <w:t>Class</w:t>
            </w:r>
            <w:r>
              <w:rPr>
                <w:spacing w:val="-4"/>
                <w:sz w:val="22"/>
              </w:rPr>
              <w:t> </w:t>
            </w:r>
            <w:r>
              <w:rPr>
                <w:sz w:val="22"/>
              </w:rPr>
              <w:t>procedures,</w:t>
            </w:r>
            <w:r>
              <w:rPr>
                <w:spacing w:val="-3"/>
                <w:sz w:val="22"/>
              </w:rPr>
              <w:t> </w:t>
            </w:r>
            <w:r>
              <w:rPr>
                <w:sz w:val="22"/>
              </w:rPr>
              <w:t>design</w:t>
            </w:r>
            <w:r>
              <w:rPr>
                <w:spacing w:val="-3"/>
                <w:sz w:val="22"/>
              </w:rPr>
              <w:t> </w:t>
            </w:r>
            <w:r>
              <w:rPr>
                <w:sz w:val="22"/>
              </w:rPr>
              <w:t>introducBon,</w:t>
            </w:r>
            <w:r>
              <w:rPr>
                <w:spacing w:val="-4"/>
                <w:sz w:val="22"/>
              </w:rPr>
              <w:t> </w:t>
            </w:r>
            <w:r>
              <w:rPr>
                <w:sz w:val="22"/>
              </w:rPr>
              <w:t>board</w:t>
            </w:r>
            <w:r>
              <w:rPr>
                <w:spacing w:val="-3"/>
                <w:sz w:val="22"/>
              </w:rPr>
              <w:t> </w:t>
            </w:r>
            <w:r>
              <w:rPr>
                <w:spacing w:val="-2"/>
                <w:sz w:val="22"/>
              </w:rPr>
              <w:t>anatomy</w:t>
            </w:r>
          </w:p>
        </w:tc>
      </w:tr>
      <w:tr>
        <w:trPr>
          <w:trHeight w:val="387" w:hRule="atLeast"/>
        </w:trPr>
        <w:tc>
          <w:tcPr>
            <w:tcW w:w="1004" w:type="dxa"/>
          </w:tcPr>
          <w:p>
            <w:pPr>
              <w:pStyle w:val="TableParagraph"/>
              <w:ind w:right="153"/>
              <w:jc w:val="center"/>
              <w:rPr>
                <w:sz w:val="22"/>
              </w:rPr>
            </w:pPr>
            <w:r>
              <w:rPr>
                <w:sz w:val="22"/>
              </w:rPr>
              <w:t>Week</w:t>
            </w:r>
            <w:r>
              <w:rPr>
                <w:spacing w:val="-9"/>
                <w:sz w:val="22"/>
              </w:rPr>
              <w:t> </w:t>
            </w:r>
            <w:r>
              <w:rPr>
                <w:spacing w:val="-10"/>
                <w:sz w:val="22"/>
              </w:rPr>
              <w:t>2</w:t>
            </w:r>
          </w:p>
        </w:tc>
        <w:tc>
          <w:tcPr>
            <w:tcW w:w="7747" w:type="dxa"/>
          </w:tcPr>
          <w:p>
            <w:pPr>
              <w:pStyle w:val="TableParagraph"/>
              <w:ind w:left="85"/>
              <w:rPr>
                <w:sz w:val="22"/>
              </w:rPr>
            </w:pPr>
            <w:r>
              <w:rPr>
                <w:sz w:val="22"/>
              </w:rPr>
              <w:t>SMD</w:t>
            </w:r>
            <w:r>
              <w:rPr>
                <w:spacing w:val="-4"/>
                <w:sz w:val="22"/>
              </w:rPr>
              <w:t> </w:t>
            </w:r>
            <w:r>
              <w:rPr>
                <w:sz w:val="22"/>
              </w:rPr>
              <w:t>packages,</w:t>
            </w:r>
            <w:r>
              <w:rPr>
                <w:spacing w:val="-3"/>
                <w:sz w:val="22"/>
              </w:rPr>
              <w:t> </w:t>
            </w:r>
            <w:r>
              <w:rPr>
                <w:sz w:val="22"/>
              </w:rPr>
              <w:t>project</w:t>
            </w:r>
            <w:r>
              <w:rPr>
                <w:spacing w:val="-3"/>
                <w:sz w:val="22"/>
              </w:rPr>
              <w:t> </w:t>
            </w:r>
            <w:r>
              <w:rPr>
                <w:sz w:val="22"/>
              </w:rPr>
              <w:t>costs,</w:t>
            </w:r>
            <w:r>
              <w:rPr>
                <w:spacing w:val="-3"/>
                <w:sz w:val="22"/>
              </w:rPr>
              <w:t> </w:t>
            </w:r>
            <w:r>
              <w:rPr>
                <w:sz w:val="22"/>
              </w:rPr>
              <w:t>BOMs,</w:t>
            </w:r>
            <w:r>
              <w:rPr>
                <w:spacing w:val="-3"/>
                <w:sz w:val="22"/>
              </w:rPr>
              <w:t> </w:t>
            </w:r>
            <w:r>
              <w:rPr>
                <w:sz w:val="22"/>
              </w:rPr>
              <w:t>and</w:t>
            </w:r>
            <w:r>
              <w:rPr>
                <w:spacing w:val="-3"/>
                <w:sz w:val="22"/>
              </w:rPr>
              <w:t> </w:t>
            </w:r>
            <w:r>
              <w:rPr>
                <w:spacing w:val="-2"/>
                <w:sz w:val="22"/>
              </w:rPr>
              <w:t>vendors</w:t>
            </w:r>
          </w:p>
        </w:tc>
      </w:tr>
      <w:tr>
        <w:trPr>
          <w:trHeight w:val="386" w:hRule="atLeast"/>
        </w:trPr>
        <w:tc>
          <w:tcPr>
            <w:tcW w:w="1004" w:type="dxa"/>
          </w:tcPr>
          <w:p>
            <w:pPr>
              <w:pStyle w:val="TableParagraph"/>
              <w:ind w:right="153"/>
              <w:jc w:val="center"/>
              <w:rPr>
                <w:sz w:val="22"/>
              </w:rPr>
            </w:pPr>
            <w:r>
              <w:rPr>
                <w:sz w:val="22"/>
              </w:rPr>
              <w:t>Week</w:t>
            </w:r>
            <w:r>
              <w:rPr>
                <w:spacing w:val="-9"/>
                <w:sz w:val="22"/>
              </w:rPr>
              <w:t> </w:t>
            </w:r>
            <w:r>
              <w:rPr>
                <w:spacing w:val="-10"/>
                <w:sz w:val="22"/>
              </w:rPr>
              <w:t>3</w:t>
            </w:r>
          </w:p>
        </w:tc>
        <w:tc>
          <w:tcPr>
            <w:tcW w:w="7747" w:type="dxa"/>
          </w:tcPr>
          <w:p>
            <w:pPr>
              <w:pStyle w:val="TableParagraph"/>
              <w:ind w:left="85"/>
              <w:rPr>
                <w:sz w:val="22"/>
              </w:rPr>
            </w:pPr>
            <w:r>
              <w:rPr>
                <w:sz w:val="22"/>
              </w:rPr>
              <w:t>Drag</w:t>
            </w:r>
            <w:r>
              <w:rPr>
                <w:spacing w:val="-3"/>
                <w:sz w:val="22"/>
              </w:rPr>
              <w:t> </w:t>
            </w:r>
            <w:r>
              <w:rPr>
                <w:sz w:val="22"/>
              </w:rPr>
              <w:t>soldering,</w:t>
            </w:r>
            <w:r>
              <w:rPr>
                <w:spacing w:val="-3"/>
                <w:sz w:val="22"/>
              </w:rPr>
              <w:t> </w:t>
            </w:r>
            <w:r>
              <w:rPr>
                <w:sz w:val="22"/>
              </w:rPr>
              <w:t>passive</w:t>
            </w:r>
            <w:r>
              <w:rPr>
                <w:spacing w:val="-3"/>
                <w:sz w:val="22"/>
              </w:rPr>
              <w:t> </w:t>
            </w:r>
            <w:r>
              <w:rPr>
                <w:sz w:val="22"/>
              </w:rPr>
              <w:t>component</w:t>
            </w:r>
            <w:r>
              <w:rPr>
                <w:spacing w:val="-3"/>
                <w:sz w:val="22"/>
              </w:rPr>
              <w:t> </w:t>
            </w:r>
            <w:r>
              <w:rPr>
                <w:sz w:val="22"/>
              </w:rPr>
              <w:t>non-</w:t>
            </w:r>
            <w:r>
              <w:rPr>
                <w:spacing w:val="-2"/>
                <w:sz w:val="22"/>
              </w:rPr>
              <w:t>idealiBes</w:t>
            </w:r>
          </w:p>
        </w:tc>
      </w:tr>
      <w:tr>
        <w:trPr>
          <w:trHeight w:val="387" w:hRule="atLeast"/>
        </w:trPr>
        <w:tc>
          <w:tcPr>
            <w:tcW w:w="1004" w:type="dxa"/>
          </w:tcPr>
          <w:p>
            <w:pPr>
              <w:pStyle w:val="TableParagraph"/>
              <w:ind w:right="153"/>
              <w:jc w:val="center"/>
              <w:rPr>
                <w:sz w:val="22"/>
              </w:rPr>
            </w:pPr>
            <w:r>
              <w:rPr>
                <w:sz w:val="22"/>
              </w:rPr>
              <w:t>Week</w:t>
            </w:r>
            <w:r>
              <w:rPr>
                <w:spacing w:val="-9"/>
                <w:sz w:val="22"/>
              </w:rPr>
              <w:t> </w:t>
            </w:r>
            <w:r>
              <w:rPr>
                <w:spacing w:val="-10"/>
                <w:sz w:val="22"/>
              </w:rPr>
              <w:t>4</w:t>
            </w:r>
          </w:p>
        </w:tc>
        <w:tc>
          <w:tcPr>
            <w:tcW w:w="7747" w:type="dxa"/>
          </w:tcPr>
          <w:p>
            <w:pPr>
              <w:pStyle w:val="TableParagraph"/>
              <w:ind w:left="85"/>
              <w:rPr>
                <w:sz w:val="22"/>
              </w:rPr>
            </w:pPr>
            <w:r>
              <w:rPr>
                <w:sz w:val="22"/>
              </w:rPr>
              <w:t>Network</w:t>
            </w:r>
            <w:r>
              <w:rPr>
                <w:spacing w:val="-5"/>
                <w:sz w:val="22"/>
              </w:rPr>
              <w:t> </w:t>
            </w:r>
            <w:r>
              <w:rPr>
                <w:sz w:val="22"/>
              </w:rPr>
              <w:t>analyzers,</w:t>
            </w:r>
            <w:r>
              <w:rPr>
                <w:spacing w:val="-5"/>
                <w:sz w:val="22"/>
              </w:rPr>
              <w:t> </w:t>
            </w:r>
            <w:r>
              <w:rPr>
                <w:sz w:val="22"/>
              </w:rPr>
              <w:t>hot</w:t>
            </w:r>
            <w:r>
              <w:rPr>
                <w:spacing w:val="-5"/>
                <w:sz w:val="22"/>
              </w:rPr>
              <w:t> </w:t>
            </w:r>
            <w:r>
              <w:rPr>
                <w:sz w:val="22"/>
              </w:rPr>
              <w:t>air</w:t>
            </w:r>
            <w:r>
              <w:rPr>
                <w:spacing w:val="-4"/>
                <w:sz w:val="22"/>
              </w:rPr>
              <w:t> </w:t>
            </w:r>
            <w:r>
              <w:rPr>
                <w:spacing w:val="-2"/>
                <w:sz w:val="22"/>
              </w:rPr>
              <w:t>soldering</w:t>
            </w:r>
          </w:p>
        </w:tc>
      </w:tr>
      <w:tr>
        <w:trPr>
          <w:trHeight w:val="387" w:hRule="atLeast"/>
        </w:trPr>
        <w:tc>
          <w:tcPr>
            <w:tcW w:w="1004" w:type="dxa"/>
          </w:tcPr>
          <w:p>
            <w:pPr>
              <w:pStyle w:val="TableParagraph"/>
              <w:ind w:right="153"/>
              <w:jc w:val="center"/>
              <w:rPr>
                <w:sz w:val="22"/>
              </w:rPr>
            </w:pPr>
            <w:r>
              <w:rPr>
                <w:sz w:val="22"/>
              </w:rPr>
              <w:t>Week</w:t>
            </w:r>
            <w:r>
              <w:rPr>
                <w:spacing w:val="-9"/>
                <w:sz w:val="22"/>
              </w:rPr>
              <w:t> </w:t>
            </w:r>
            <w:r>
              <w:rPr>
                <w:spacing w:val="-10"/>
                <w:sz w:val="22"/>
              </w:rPr>
              <w:t>5</w:t>
            </w:r>
          </w:p>
        </w:tc>
        <w:tc>
          <w:tcPr>
            <w:tcW w:w="7747" w:type="dxa"/>
          </w:tcPr>
          <w:p>
            <w:pPr>
              <w:pStyle w:val="TableParagraph"/>
              <w:ind w:left="85"/>
              <w:rPr>
                <w:sz w:val="22"/>
              </w:rPr>
            </w:pPr>
            <w:r>
              <w:rPr>
                <w:sz w:val="22"/>
              </w:rPr>
              <w:t>CreaBng</w:t>
            </w:r>
            <w:r>
              <w:rPr>
                <w:spacing w:val="-3"/>
                <w:sz w:val="22"/>
              </w:rPr>
              <w:t> </w:t>
            </w:r>
            <w:r>
              <w:rPr>
                <w:sz w:val="22"/>
              </w:rPr>
              <w:t>Fusion</w:t>
            </w:r>
            <w:r>
              <w:rPr>
                <w:spacing w:val="-3"/>
                <w:sz w:val="22"/>
              </w:rPr>
              <w:t> </w:t>
            </w:r>
            <w:r>
              <w:rPr>
                <w:sz w:val="22"/>
              </w:rPr>
              <w:t>parts,</w:t>
            </w:r>
            <w:r>
              <w:rPr>
                <w:spacing w:val="-3"/>
                <w:sz w:val="22"/>
              </w:rPr>
              <w:t> </w:t>
            </w:r>
            <w:r>
              <w:rPr>
                <w:sz w:val="22"/>
              </w:rPr>
              <w:t>reading</w:t>
            </w:r>
            <w:r>
              <w:rPr>
                <w:spacing w:val="-2"/>
                <w:sz w:val="22"/>
              </w:rPr>
              <w:t> </w:t>
            </w:r>
            <w:r>
              <w:rPr>
                <w:sz w:val="22"/>
              </w:rPr>
              <w:t>mechanical</w:t>
            </w:r>
            <w:r>
              <w:rPr>
                <w:spacing w:val="-3"/>
                <w:sz w:val="22"/>
              </w:rPr>
              <w:t> </w:t>
            </w:r>
            <w:r>
              <w:rPr>
                <w:spacing w:val="-2"/>
                <w:sz w:val="22"/>
              </w:rPr>
              <w:t>drawings</w:t>
            </w:r>
          </w:p>
        </w:tc>
      </w:tr>
      <w:tr>
        <w:trPr>
          <w:trHeight w:val="387" w:hRule="atLeast"/>
        </w:trPr>
        <w:tc>
          <w:tcPr>
            <w:tcW w:w="1004" w:type="dxa"/>
          </w:tcPr>
          <w:p>
            <w:pPr>
              <w:pStyle w:val="TableParagraph"/>
              <w:ind w:right="153"/>
              <w:jc w:val="center"/>
              <w:rPr>
                <w:sz w:val="22"/>
              </w:rPr>
            </w:pPr>
            <w:r>
              <w:rPr>
                <w:sz w:val="22"/>
              </w:rPr>
              <w:t>Week</w:t>
            </w:r>
            <w:r>
              <w:rPr>
                <w:spacing w:val="-9"/>
                <w:sz w:val="22"/>
              </w:rPr>
              <w:t> </w:t>
            </w:r>
            <w:r>
              <w:rPr>
                <w:spacing w:val="-10"/>
                <w:sz w:val="22"/>
              </w:rPr>
              <w:t>6</w:t>
            </w:r>
          </w:p>
        </w:tc>
        <w:tc>
          <w:tcPr>
            <w:tcW w:w="7747" w:type="dxa"/>
          </w:tcPr>
          <w:p>
            <w:pPr>
              <w:pStyle w:val="TableParagraph"/>
              <w:ind w:left="85"/>
              <w:rPr>
                <w:sz w:val="22"/>
              </w:rPr>
            </w:pPr>
            <w:r>
              <w:rPr>
                <w:sz w:val="22"/>
              </w:rPr>
              <w:t>High</w:t>
            </w:r>
            <w:r>
              <w:rPr>
                <w:spacing w:val="-5"/>
                <w:sz w:val="22"/>
              </w:rPr>
              <w:t> </w:t>
            </w:r>
            <w:r>
              <w:rPr>
                <w:sz w:val="22"/>
              </w:rPr>
              <w:t>speed</w:t>
            </w:r>
            <w:r>
              <w:rPr>
                <w:spacing w:val="-3"/>
                <w:sz w:val="22"/>
              </w:rPr>
              <w:t> </w:t>
            </w:r>
            <w:r>
              <w:rPr>
                <w:sz w:val="22"/>
              </w:rPr>
              <w:t>layouts,</w:t>
            </w:r>
            <w:r>
              <w:rPr>
                <w:spacing w:val="-3"/>
                <w:sz w:val="22"/>
              </w:rPr>
              <w:t> </w:t>
            </w:r>
            <w:r>
              <w:rPr>
                <w:sz w:val="22"/>
              </w:rPr>
              <w:t>transmission</w:t>
            </w:r>
            <w:r>
              <w:rPr>
                <w:spacing w:val="-3"/>
                <w:sz w:val="22"/>
              </w:rPr>
              <w:t> </w:t>
            </w:r>
            <w:r>
              <w:rPr>
                <w:sz w:val="22"/>
              </w:rPr>
              <w:t>lines</w:t>
            </w:r>
            <w:r>
              <w:rPr>
                <w:spacing w:val="-3"/>
                <w:sz w:val="22"/>
              </w:rPr>
              <w:t> </w:t>
            </w:r>
            <w:r>
              <w:rPr>
                <w:sz w:val="22"/>
              </w:rPr>
              <w:t>thermal</w:t>
            </w:r>
            <w:r>
              <w:rPr>
                <w:spacing w:val="-3"/>
                <w:sz w:val="22"/>
              </w:rPr>
              <w:t> </w:t>
            </w:r>
            <w:r>
              <w:rPr>
                <w:spacing w:val="-2"/>
                <w:sz w:val="22"/>
              </w:rPr>
              <w:t>resistance</w:t>
            </w:r>
          </w:p>
        </w:tc>
      </w:tr>
      <w:tr>
        <w:trPr>
          <w:trHeight w:val="386" w:hRule="atLeast"/>
        </w:trPr>
        <w:tc>
          <w:tcPr>
            <w:tcW w:w="1004" w:type="dxa"/>
          </w:tcPr>
          <w:p>
            <w:pPr>
              <w:pStyle w:val="TableParagraph"/>
              <w:ind w:right="153"/>
              <w:jc w:val="center"/>
              <w:rPr>
                <w:sz w:val="22"/>
              </w:rPr>
            </w:pPr>
            <w:r>
              <w:rPr>
                <w:sz w:val="22"/>
              </w:rPr>
              <w:t>Week</w:t>
            </w:r>
            <w:r>
              <w:rPr>
                <w:spacing w:val="-9"/>
                <w:sz w:val="22"/>
              </w:rPr>
              <w:t> </w:t>
            </w:r>
            <w:r>
              <w:rPr>
                <w:spacing w:val="-10"/>
                <w:sz w:val="22"/>
              </w:rPr>
              <w:t>7</w:t>
            </w:r>
          </w:p>
        </w:tc>
        <w:tc>
          <w:tcPr>
            <w:tcW w:w="7747" w:type="dxa"/>
          </w:tcPr>
          <w:p>
            <w:pPr>
              <w:pStyle w:val="TableParagraph"/>
              <w:ind w:left="85"/>
              <w:rPr>
                <w:sz w:val="22"/>
              </w:rPr>
            </w:pPr>
            <w:r>
              <w:rPr>
                <w:sz w:val="22"/>
              </w:rPr>
              <w:t>Fusion</w:t>
            </w:r>
            <w:r>
              <w:rPr>
                <w:spacing w:val="-2"/>
                <w:sz w:val="22"/>
              </w:rPr>
              <w:t> </w:t>
            </w:r>
            <w:r>
              <w:rPr>
                <w:sz w:val="22"/>
              </w:rPr>
              <w:t>rouBng,</w:t>
            </w:r>
            <w:r>
              <w:rPr>
                <w:spacing w:val="-1"/>
                <w:sz w:val="22"/>
              </w:rPr>
              <w:t> </w:t>
            </w:r>
            <w:r>
              <w:rPr>
                <w:sz w:val="22"/>
              </w:rPr>
              <w:t>copper</w:t>
            </w:r>
            <w:r>
              <w:rPr>
                <w:spacing w:val="-1"/>
                <w:sz w:val="22"/>
              </w:rPr>
              <w:t> </w:t>
            </w:r>
            <w:r>
              <w:rPr>
                <w:spacing w:val="-2"/>
                <w:sz w:val="22"/>
              </w:rPr>
              <w:t>pours</w:t>
            </w:r>
          </w:p>
        </w:tc>
      </w:tr>
      <w:tr>
        <w:trPr>
          <w:trHeight w:val="387" w:hRule="atLeast"/>
        </w:trPr>
        <w:tc>
          <w:tcPr>
            <w:tcW w:w="1004" w:type="dxa"/>
          </w:tcPr>
          <w:p>
            <w:pPr>
              <w:pStyle w:val="TableParagraph"/>
              <w:ind w:right="153"/>
              <w:jc w:val="center"/>
              <w:rPr>
                <w:sz w:val="22"/>
              </w:rPr>
            </w:pPr>
            <w:r>
              <w:rPr>
                <w:sz w:val="22"/>
              </w:rPr>
              <w:t>Week</w:t>
            </w:r>
            <w:r>
              <w:rPr>
                <w:spacing w:val="-9"/>
                <w:sz w:val="22"/>
              </w:rPr>
              <w:t> </w:t>
            </w:r>
            <w:r>
              <w:rPr>
                <w:spacing w:val="-10"/>
                <w:sz w:val="22"/>
              </w:rPr>
              <w:t>8</w:t>
            </w:r>
          </w:p>
        </w:tc>
        <w:tc>
          <w:tcPr>
            <w:tcW w:w="7747" w:type="dxa"/>
          </w:tcPr>
          <w:p>
            <w:pPr>
              <w:pStyle w:val="TableParagraph"/>
              <w:ind w:left="85"/>
              <w:rPr>
                <w:sz w:val="22"/>
              </w:rPr>
            </w:pPr>
            <w:r>
              <w:rPr>
                <w:sz w:val="22"/>
              </w:rPr>
              <w:t>Sheet</w:t>
            </w:r>
            <w:r>
              <w:rPr>
                <w:spacing w:val="-3"/>
                <w:sz w:val="22"/>
              </w:rPr>
              <w:t> </w:t>
            </w:r>
            <w:r>
              <w:rPr>
                <w:sz w:val="22"/>
              </w:rPr>
              <w:t>resistance,</w:t>
            </w:r>
            <w:r>
              <w:rPr>
                <w:spacing w:val="-3"/>
                <w:sz w:val="22"/>
              </w:rPr>
              <w:t> </w:t>
            </w:r>
            <w:r>
              <w:rPr>
                <w:sz w:val="22"/>
              </w:rPr>
              <w:t>design</w:t>
            </w:r>
            <w:r>
              <w:rPr>
                <w:spacing w:val="-3"/>
                <w:sz w:val="22"/>
              </w:rPr>
              <w:t> </w:t>
            </w:r>
            <w:r>
              <w:rPr>
                <w:sz w:val="22"/>
              </w:rPr>
              <w:t>rule</w:t>
            </w:r>
            <w:r>
              <w:rPr>
                <w:spacing w:val="-3"/>
                <w:sz w:val="22"/>
              </w:rPr>
              <w:t> </w:t>
            </w:r>
            <w:r>
              <w:rPr>
                <w:spacing w:val="-2"/>
                <w:sz w:val="22"/>
              </w:rPr>
              <w:t>checks</w:t>
            </w:r>
          </w:p>
        </w:tc>
      </w:tr>
      <w:tr>
        <w:trPr>
          <w:trHeight w:val="386" w:hRule="atLeast"/>
        </w:trPr>
        <w:tc>
          <w:tcPr>
            <w:tcW w:w="1004" w:type="dxa"/>
          </w:tcPr>
          <w:p>
            <w:pPr>
              <w:pStyle w:val="TableParagraph"/>
              <w:ind w:right="153"/>
              <w:jc w:val="center"/>
              <w:rPr>
                <w:sz w:val="22"/>
              </w:rPr>
            </w:pPr>
            <w:r>
              <w:rPr>
                <w:sz w:val="22"/>
              </w:rPr>
              <w:t>Week</w:t>
            </w:r>
            <w:r>
              <w:rPr>
                <w:spacing w:val="-9"/>
                <w:sz w:val="22"/>
              </w:rPr>
              <w:t> </w:t>
            </w:r>
            <w:r>
              <w:rPr>
                <w:spacing w:val="-10"/>
                <w:sz w:val="22"/>
              </w:rPr>
              <w:t>9</w:t>
            </w:r>
          </w:p>
        </w:tc>
        <w:tc>
          <w:tcPr>
            <w:tcW w:w="7747" w:type="dxa"/>
          </w:tcPr>
          <w:p>
            <w:pPr>
              <w:pStyle w:val="TableParagraph"/>
              <w:ind w:left="85"/>
              <w:rPr>
                <w:sz w:val="22"/>
              </w:rPr>
            </w:pPr>
            <w:r>
              <w:rPr>
                <w:sz w:val="22"/>
              </w:rPr>
              <w:t>Computer</w:t>
            </w:r>
            <w:r>
              <w:rPr>
                <w:spacing w:val="-3"/>
                <w:sz w:val="22"/>
              </w:rPr>
              <w:t> </w:t>
            </w:r>
            <w:r>
              <w:rPr>
                <w:sz w:val="22"/>
              </w:rPr>
              <w:t>aided</w:t>
            </w:r>
            <w:r>
              <w:rPr>
                <w:spacing w:val="-3"/>
                <w:sz w:val="22"/>
              </w:rPr>
              <w:t> </w:t>
            </w:r>
            <w:r>
              <w:rPr>
                <w:sz w:val="22"/>
              </w:rPr>
              <w:t>manufacturing</w:t>
            </w:r>
            <w:r>
              <w:rPr>
                <w:spacing w:val="-3"/>
                <w:sz w:val="22"/>
              </w:rPr>
              <w:t> </w:t>
            </w:r>
            <w:r>
              <w:rPr>
                <w:sz w:val="22"/>
              </w:rPr>
              <w:t>(CAM)</w:t>
            </w:r>
            <w:r>
              <w:rPr>
                <w:spacing w:val="-3"/>
                <w:sz w:val="22"/>
              </w:rPr>
              <w:t> </w:t>
            </w:r>
            <w:r>
              <w:rPr>
                <w:spacing w:val="-2"/>
                <w:sz w:val="22"/>
              </w:rPr>
              <w:t>processing</w:t>
            </w:r>
          </w:p>
        </w:tc>
      </w:tr>
      <w:tr>
        <w:trPr>
          <w:trHeight w:val="387" w:hRule="atLeast"/>
        </w:trPr>
        <w:tc>
          <w:tcPr>
            <w:tcW w:w="1004" w:type="dxa"/>
          </w:tcPr>
          <w:p>
            <w:pPr>
              <w:pStyle w:val="TableParagraph"/>
              <w:ind w:right="42"/>
              <w:jc w:val="center"/>
              <w:rPr>
                <w:sz w:val="22"/>
              </w:rPr>
            </w:pPr>
            <w:r>
              <w:rPr>
                <w:sz w:val="22"/>
              </w:rPr>
              <w:t>Week</w:t>
            </w:r>
            <w:r>
              <w:rPr>
                <w:spacing w:val="-9"/>
                <w:sz w:val="22"/>
              </w:rPr>
              <w:t> </w:t>
            </w:r>
            <w:r>
              <w:rPr>
                <w:spacing w:val="-5"/>
                <w:sz w:val="22"/>
              </w:rPr>
              <w:t>10</w:t>
            </w:r>
          </w:p>
        </w:tc>
        <w:tc>
          <w:tcPr>
            <w:tcW w:w="7747" w:type="dxa"/>
          </w:tcPr>
          <w:p>
            <w:pPr>
              <w:pStyle w:val="TableParagraph"/>
              <w:ind w:left="85"/>
              <w:rPr>
                <w:sz w:val="22"/>
              </w:rPr>
            </w:pPr>
            <w:r>
              <w:rPr>
                <w:sz w:val="22"/>
              </w:rPr>
              <w:t>3D</w:t>
            </w:r>
            <w:r>
              <w:rPr>
                <w:spacing w:val="-2"/>
                <w:sz w:val="22"/>
              </w:rPr>
              <w:t> </w:t>
            </w:r>
            <w:r>
              <w:rPr>
                <w:sz w:val="22"/>
              </w:rPr>
              <w:t>modeling</w:t>
            </w:r>
            <w:r>
              <w:rPr>
                <w:spacing w:val="-2"/>
                <w:sz w:val="22"/>
              </w:rPr>
              <w:t> </w:t>
            </w:r>
            <w:r>
              <w:rPr>
                <w:sz w:val="22"/>
              </w:rPr>
              <w:t>in</w:t>
            </w:r>
            <w:r>
              <w:rPr>
                <w:spacing w:val="-1"/>
                <w:sz w:val="22"/>
              </w:rPr>
              <w:t> </w:t>
            </w:r>
            <w:r>
              <w:rPr>
                <w:sz w:val="22"/>
              </w:rPr>
              <w:t>Fusion</w:t>
            </w:r>
            <w:r>
              <w:rPr>
                <w:spacing w:val="-1"/>
                <w:sz w:val="22"/>
              </w:rPr>
              <w:t> </w:t>
            </w:r>
            <w:r>
              <w:rPr>
                <w:sz w:val="22"/>
              </w:rPr>
              <w:t>360,</w:t>
            </w:r>
            <w:r>
              <w:rPr>
                <w:spacing w:val="-1"/>
                <w:sz w:val="22"/>
              </w:rPr>
              <w:t> </w:t>
            </w:r>
            <w:r>
              <w:rPr>
                <w:sz w:val="22"/>
              </w:rPr>
              <w:t>3D</w:t>
            </w:r>
            <w:r>
              <w:rPr>
                <w:spacing w:val="-1"/>
                <w:sz w:val="22"/>
              </w:rPr>
              <w:t> </w:t>
            </w:r>
            <w:r>
              <w:rPr>
                <w:spacing w:val="-2"/>
                <w:sz w:val="22"/>
              </w:rPr>
              <w:t>prinBng</w:t>
            </w:r>
          </w:p>
        </w:tc>
      </w:tr>
      <w:tr>
        <w:trPr>
          <w:trHeight w:val="387" w:hRule="atLeast"/>
        </w:trPr>
        <w:tc>
          <w:tcPr>
            <w:tcW w:w="1004" w:type="dxa"/>
          </w:tcPr>
          <w:p>
            <w:pPr>
              <w:pStyle w:val="TableParagraph"/>
              <w:ind w:right="42"/>
              <w:jc w:val="center"/>
              <w:rPr>
                <w:sz w:val="22"/>
              </w:rPr>
            </w:pPr>
            <w:r>
              <w:rPr>
                <w:sz w:val="22"/>
              </w:rPr>
              <w:t>Week</w:t>
            </w:r>
            <w:r>
              <w:rPr>
                <w:spacing w:val="-9"/>
                <w:sz w:val="22"/>
              </w:rPr>
              <w:t> </w:t>
            </w:r>
            <w:r>
              <w:rPr>
                <w:spacing w:val="-5"/>
                <w:sz w:val="22"/>
              </w:rPr>
              <w:t>11</w:t>
            </w:r>
          </w:p>
        </w:tc>
        <w:tc>
          <w:tcPr>
            <w:tcW w:w="7747" w:type="dxa"/>
          </w:tcPr>
          <w:p>
            <w:pPr>
              <w:pStyle w:val="TableParagraph"/>
              <w:ind w:left="85"/>
              <w:rPr>
                <w:sz w:val="22"/>
              </w:rPr>
            </w:pPr>
            <w:r>
              <w:rPr>
                <w:sz w:val="22"/>
              </w:rPr>
              <w:t>Connectors,</w:t>
            </w:r>
            <w:r>
              <w:rPr>
                <w:spacing w:val="-9"/>
                <w:sz w:val="22"/>
              </w:rPr>
              <w:t> </w:t>
            </w:r>
            <w:r>
              <w:rPr>
                <w:spacing w:val="-2"/>
                <w:sz w:val="22"/>
              </w:rPr>
              <w:t>slicing</w:t>
            </w:r>
          </w:p>
        </w:tc>
      </w:tr>
      <w:tr>
        <w:trPr>
          <w:trHeight w:val="386" w:hRule="atLeast"/>
        </w:trPr>
        <w:tc>
          <w:tcPr>
            <w:tcW w:w="1004" w:type="dxa"/>
          </w:tcPr>
          <w:p>
            <w:pPr>
              <w:pStyle w:val="TableParagraph"/>
              <w:ind w:right="42"/>
              <w:jc w:val="center"/>
              <w:rPr>
                <w:sz w:val="22"/>
              </w:rPr>
            </w:pPr>
            <w:r>
              <w:rPr>
                <w:sz w:val="22"/>
              </w:rPr>
              <w:t>Week</w:t>
            </w:r>
            <w:r>
              <w:rPr>
                <w:spacing w:val="-9"/>
                <w:sz w:val="22"/>
              </w:rPr>
              <w:t> </w:t>
            </w:r>
            <w:r>
              <w:rPr>
                <w:spacing w:val="-5"/>
                <w:sz w:val="22"/>
              </w:rPr>
              <w:t>12</w:t>
            </w:r>
          </w:p>
        </w:tc>
        <w:tc>
          <w:tcPr>
            <w:tcW w:w="7747" w:type="dxa"/>
          </w:tcPr>
          <w:p>
            <w:pPr>
              <w:pStyle w:val="TableParagraph"/>
              <w:ind w:left="85"/>
              <w:rPr>
                <w:sz w:val="22"/>
              </w:rPr>
            </w:pPr>
            <w:r>
              <w:rPr>
                <w:sz w:val="22"/>
              </w:rPr>
              <w:t>Automated</w:t>
            </w:r>
            <w:r>
              <w:rPr>
                <w:spacing w:val="-6"/>
                <w:sz w:val="22"/>
              </w:rPr>
              <w:t> </w:t>
            </w:r>
            <w:r>
              <w:rPr>
                <w:sz w:val="22"/>
              </w:rPr>
              <w:t>tesBng,</w:t>
            </w:r>
            <w:r>
              <w:rPr>
                <w:spacing w:val="-5"/>
                <w:sz w:val="22"/>
              </w:rPr>
              <w:t> </w:t>
            </w:r>
            <w:r>
              <w:rPr>
                <w:sz w:val="22"/>
              </w:rPr>
              <w:t>design</w:t>
            </w:r>
            <w:r>
              <w:rPr>
                <w:spacing w:val="-6"/>
                <w:sz w:val="22"/>
              </w:rPr>
              <w:t> </w:t>
            </w:r>
            <w:r>
              <w:rPr>
                <w:sz w:val="22"/>
              </w:rPr>
              <w:t>for</w:t>
            </w:r>
            <w:r>
              <w:rPr>
                <w:spacing w:val="-5"/>
                <w:sz w:val="22"/>
              </w:rPr>
              <w:t> </w:t>
            </w:r>
            <w:r>
              <w:rPr>
                <w:spacing w:val="-4"/>
                <w:sz w:val="22"/>
              </w:rPr>
              <w:t>test</w:t>
            </w:r>
          </w:p>
        </w:tc>
      </w:tr>
      <w:tr>
        <w:trPr>
          <w:trHeight w:val="387" w:hRule="atLeast"/>
        </w:trPr>
        <w:tc>
          <w:tcPr>
            <w:tcW w:w="1004" w:type="dxa"/>
          </w:tcPr>
          <w:p>
            <w:pPr>
              <w:pStyle w:val="TableParagraph"/>
              <w:ind w:right="42"/>
              <w:jc w:val="center"/>
              <w:rPr>
                <w:sz w:val="22"/>
              </w:rPr>
            </w:pPr>
            <w:r>
              <w:rPr>
                <w:sz w:val="22"/>
              </w:rPr>
              <w:t>Week</w:t>
            </w:r>
            <w:r>
              <w:rPr>
                <w:spacing w:val="-9"/>
                <w:sz w:val="22"/>
              </w:rPr>
              <w:t> </w:t>
            </w:r>
            <w:r>
              <w:rPr>
                <w:spacing w:val="-5"/>
                <w:sz w:val="22"/>
              </w:rPr>
              <w:t>13</w:t>
            </w:r>
          </w:p>
        </w:tc>
        <w:tc>
          <w:tcPr>
            <w:tcW w:w="7747" w:type="dxa"/>
          </w:tcPr>
          <w:p>
            <w:pPr>
              <w:pStyle w:val="TableParagraph"/>
              <w:ind w:left="85"/>
              <w:rPr>
                <w:sz w:val="22"/>
              </w:rPr>
            </w:pPr>
            <w:r>
              <w:rPr>
                <w:sz w:val="22"/>
              </w:rPr>
              <w:t>Guarding,</w:t>
            </w:r>
            <w:r>
              <w:rPr>
                <w:spacing w:val="-2"/>
                <w:sz w:val="22"/>
              </w:rPr>
              <w:t> </w:t>
            </w:r>
            <w:r>
              <w:rPr>
                <w:sz w:val="22"/>
              </w:rPr>
              <w:t>creep</w:t>
            </w:r>
            <w:r>
              <w:rPr>
                <w:spacing w:val="-2"/>
                <w:sz w:val="22"/>
              </w:rPr>
              <w:t> </w:t>
            </w:r>
            <w:r>
              <w:rPr>
                <w:sz w:val="22"/>
              </w:rPr>
              <w:t>and</w:t>
            </w:r>
            <w:r>
              <w:rPr>
                <w:spacing w:val="-1"/>
                <w:sz w:val="22"/>
              </w:rPr>
              <w:t> </w:t>
            </w:r>
            <w:r>
              <w:rPr>
                <w:spacing w:val="-2"/>
                <w:sz w:val="22"/>
              </w:rPr>
              <w:t>clearance</w:t>
            </w:r>
          </w:p>
        </w:tc>
      </w:tr>
      <w:tr>
        <w:trPr>
          <w:trHeight w:val="386" w:hRule="atLeast"/>
        </w:trPr>
        <w:tc>
          <w:tcPr>
            <w:tcW w:w="1004" w:type="dxa"/>
          </w:tcPr>
          <w:p>
            <w:pPr>
              <w:pStyle w:val="TableParagraph"/>
              <w:ind w:right="42"/>
              <w:jc w:val="center"/>
              <w:rPr>
                <w:sz w:val="22"/>
              </w:rPr>
            </w:pPr>
            <w:r>
              <w:rPr>
                <w:sz w:val="22"/>
              </w:rPr>
              <w:t>Week</w:t>
            </w:r>
            <w:r>
              <w:rPr>
                <w:spacing w:val="-9"/>
                <w:sz w:val="22"/>
              </w:rPr>
              <w:t> </w:t>
            </w:r>
            <w:r>
              <w:rPr>
                <w:spacing w:val="-5"/>
                <w:sz w:val="22"/>
              </w:rPr>
              <w:t>14</w:t>
            </w:r>
          </w:p>
        </w:tc>
        <w:tc>
          <w:tcPr>
            <w:tcW w:w="7747" w:type="dxa"/>
          </w:tcPr>
          <w:p>
            <w:pPr>
              <w:pStyle w:val="TableParagraph"/>
              <w:ind w:left="85"/>
              <w:rPr>
                <w:sz w:val="22"/>
              </w:rPr>
            </w:pPr>
            <w:r>
              <w:rPr>
                <w:sz w:val="22"/>
              </w:rPr>
              <w:t>Final</w:t>
            </w:r>
            <w:r>
              <w:rPr>
                <w:spacing w:val="-3"/>
                <w:sz w:val="22"/>
              </w:rPr>
              <w:t> </w:t>
            </w:r>
            <w:r>
              <w:rPr>
                <w:spacing w:val="-2"/>
                <w:sz w:val="22"/>
              </w:rPr>
              <w:t>pressenBons</w:t>
            </w:r>
          </w:p>
        </w:tc>
      </w:tr>
    </w:tbl>
    <w:p>
      <w:pPr>
        <w:spacing w:line="280" w:lineRule="exact" w:before="103"/>
        <w:ind w:left="100" w:right="0" w:firstLine="0"/>
        <w:jc w:val="left"/>
        <w:rPr>
          <w:sz w:val="24"/>
        </w:rPr>
      </w:pPr>
      <w:r>
        <w:rPr>
          <w:b/>
          <w:sz w:val="24"/>
        </w:rPr>
        <w:t>Course</w:t>
      </w:r>
      <w:r>
        <w:rPr>
          <w:b/>
          <w:spacing w:val="-1"/>
          <w:sz w:val="24"/>
        </w:rPr>
        <w:t> </w:t>
      </w:r>
      <w:r>
        <w:rPr>
          <w:b/>
          <w:sz w:val="24"/>
        </w:rPr>
        <w:t>Learning</w:t>
      </w:r>
      <w:r>
        <w:rPr>
          <w:b/>
          <w:spacing w:val="-1"/>
          <w:sz w:val="24"/>
        </w:rPr>
        <w:t> </w:t>
      </w:r>
      <w:r>
        <w:rPr>
          <w:b/>
          <w:sz w:val="24"/>
        </w:rPr>
        <w:t>Outcomes:</w:t>
      </w:r>
      <w:r>
        <w:rPr>
          <w:b/>
          <w:spacing w:val="-2"/>
          <w:sz w:val="24"/>
        </w:rPr>
        <w:t> </w:t>
      </w:r>
      <w:r>
        <w:rPr>
          <w:sz w:val="24"/>
        </w:rPr>
        <w:t>AZer compleBng</w:t>
      </w:r>
      <w:r>
        <w:rPr>
          <w:spacing w:val="-1"/>
          <w:sz w:val="24"/>
        </w:rPr>
        <w:t> </w:t>
      </w:r>
      <w:r>
        <w:rPr>
          <w:sz w:val="24"/>
        </w:rPr>
        <w:t>this</w:t>
      </w:r>
      <w:r>
        <w:rPr>
          <w:spacing w:val="-1"/>
          <w:sz w:val="24"/>
        </w:rPr>
        <w:t> </w:t>
      </w:r>
      <w:r>
        <w:rPr>
          <w:sz w:val="24"/>
        </w:rPr>
        <w:t>course, students</w:t>
      </w:r>
      <w:r>
        <w:rPr>
          <w:spacing w:val="-1"/>
          <w:sz w:val="24"/>
        </w:rPr>
        <w:t> </w:t>
      </w:r>
      <w:r>
        <w:rPr>
          <w:sz w:val="24"/>
        </w:rPr>
        <w:t>will</w:t>
      </w:r>
      <w:r>
        <w:rPr>
          <w:spacing w:val="-1"/>
          <w:sz w:val="24"/>
        </w:rPr>
        <w:t> </w:t>
      </w:r>
      <w:r>
        <w:rPr>
          <w:sz w:val="24"/>
        </w:rPr>
        <w:t>be able</w:t>
      </w:r>
      <w:r>
        <w:rPr>
          <w:spacing w:val="-1"/>
          <w:sz w:val="24"/>
        </w:rPr>
        <w:t> </w:t>
      </w:r>
      <w:r>
        <w:rPr>
          <w:spacing w:val="-5"/>
          <w:sz w:val="24"/>
        </w:rPr>
        <w:t>to:</w:t>
      </w:r>
    </w:p>
    <w:p>
      <w:pPr>
        <w:pStyle w:val="ListParagraph"/>
        <w:numPr>
          <w:ilvl w:val="0"/>
          <w:numId w:val="2"/>
        </w:numPr>
        <w:tabs>
          <w:tab w:pos="819" w:val="left" w:leader="none"/>
        </w:tabs>
        <w:spacing w:line="300" w:lineRule="exact" w:before="0" w:after="0"/>
        <w:ind w:left="819" w:right="0" w:hanging="359"/>
        <w:jc w:val="left"/>
        <w:rPr>
          <w:sz w:val="24"/>
        </w:rPr>
      </w:pPr>
      <w:r>
        <w:rPr>
          <w:sz w:val="24"/>
        </w:rPr>
        <w:t>Independently</w:t>
      </w:r>
      <w:r>
        <w:rPr>
          <w:spacing w:val="-3"/>
          <w:sz w:val="24"/>
        </w:rPr>
        <w:t> </w:t>
      </w:r>
      <w:r>
        <w:rPr>
          <w:sz w:val="24"/>
        </w:rPr>
        <w:t>design</w:t>
      </w:r>
      <w:r>
        <w:rPr>
          <w:spacing w:val="-3"/>
          <w:sz w:val="24"/>
        </w:rPr>
        <w:t> </w:t>
      </w:r>
      <w:r>
        <w:rPr>
          <w:sz w:val="24"/>
        </w:rPr>
        <w:t>an</w:t>
      </w:r>
      <w:r>
        <w:rPr>
          <w:spacing w:val="-3"/>
          <w:sz w:val="24"/>
        </w:rPr>
        <w:t> </w:t>
      </w:r>
      <w:r>
        <w:rPr>
          <w:sz w:val="24"/>
        </w:rPr>
        <w:t>electronic</w:t>
      </w:r>
      <w:r>
        <w:rPr>
          <w:spacing w:val="-2"/>
          <w:sz w:val="24"/>
        </w:rPr>
        <w:t> circuit</w:t>
      </w:r>
    </w:p>
    <w:p>
      <w:pPr>
        <w:pStyle w:val="ListParagraph"/>
        <w:numPr>
          <w:ilvl w:val="0"/>
          <w:numId w:val="2"/>
        </w:numPr>
        <w:tabs>
          <w:tab w:pos="819" w:val="left" w:leader="none"/>
        </w:tabs>
        <w:spacing w:line="300" w:lineRule="exact" w:before="0" w:after="0"/>
        <w:ind w:left="819" w:right="0" w:hanging="359"/>
        <w:jc w:val="left"/>
        <w:rPr>
          <w:sz w:val="24"/>
        </w:rPr>
      </w:pPr>
      <w:r>
        <w:rPr>
          <w:sz w:val="24"/>
        </w:rPr>
        <w:t>IdenBfy</w:t>
      </w:r>
      <w:r>
        <w:rPr>
          <w:spacing w:val="-5"/>
          <w:sz w:val="24"/>
        </w:rPr>
        <w:t> </w:t>
      </w:r>
      <w:r>
        <w:rPr>
          <w:sz w:val="24"/>
        </w:rPr>
        <w:t>common</w:t>
      </w:r>
      <w:r>
        <w:rPr>
          <w:spacing w:val="-4"/>
          <w:sz w:val="24"/>
        </w:rPr>
        <w:t> </w:t>
      </w:r>
      <w:r>
        <w:rPr>
          <w:sz w:val="24"/>
        </w:rPr>
        <w:t>surface</w:t>
      </w:r>
      <w:r>
        <w:rPr>
          <w:spacing w:val="-4"/>
          <w:sz w:val="24"/>
        </w:rPr>
        <w:t> </w:t>
      </w:r>
      <w:r>
        <w:rPr>
          <w:sz w:val="24"/>
        </w:rPr>
        <w:t>mount</w:t>
      </w:r>
      <w:r>
        <w:rPr>
          <w:spacing w:val="-4"/>
          <w:sz w:val="24"/>
        </w:rPr>
        <w:t> </w:t>
      </w:r>
      <w:r>
        <w:rPr>
          <w:sz w:val="24"/>
        </w:rPr>
        <w:t>electronic</w:t>
      </w:r>
      <w:r>
        <w:rPr>
          <w:spacing w:val="-5"/>
          <w:sz w:val="24"/>
        </w:rPr>
        <w:t> </w:t>
      </w:r>
      <w:r>
        <w:rPr>
          <w:sz w:val="24"/>
        </w:rPr>
        <w:t>component</w:t>
      </w:r>
      <w:r>
        <w:rPr>
          <w:spacing w:val="-4"/>
          <w:sz w:val="24"/>
        </w:rPr>
        <w:t> </w:t>
      </w:r>
      <w:r>
        <w:rPr>
          <w:spacing w:val="-2"/>
          <w:sz w:val="24"/>
        </w:rPr>
        <w:t>packages</w:t>
      </w:r>
    </w:p>
    <w:p>
      <w:pPr>
        <w:pStyle w:val="ListParagraph"/>
        <w:numPr>
          <w:ilvl w:val="0"/>
          <w:numId w:val="2"/>
        </w:numPr>
        <w:tabs>
          <w:tab w:pos="819" w:val="left" w:leader="none"/>
        </w:tabs>
        <w:spacing w:line="300" w:lineRule="exact" w:before="0" w:after="0"/>
        <w:ind w:left="819" w:right="0" w:hanging="359"/>
        <w:jc w:val="left"/>
        <w:rPr>
          <w:sz w:val="24"/>
        </w:rPr>
      </w:pPr>
      <w:r>
        <w:rPr>
          <w:sz w:val="24"/>
        </w:rPr>
        <w:t>Choose</w:t>
      </w:r>
      <w:r>
        <w:rPr>
          <w:spacing w:val="-5"/>
          <w:sz w:val="24"/>
        </w:rPr>
        <w:t> </w:t>
      </w:r>
      <w:r>
        <w:rPr>
          <w:sz w:val="24"/>
        </w:rPr>
        <w:t>parts</w:t>
      </w:r>
      <w:r>
        <w:rPr>
          <w:spacing w:val="-2"/>
          <w:sz w:val="24"/>
        </w:rPr>
        <w:t> </w:t>
      </w:r>
      <w:r>
        <w:rPr>
          <w:sz w:val="24"/>
        </w:rPr>
        <w:t>for</w:t>
      </w:r>
      <w:r>
        <w:rPr>
          <w:spacing w:val="-2"/>
          <w:sz w:val="24"/>
        </w:rPr>
        <w:t> </w:t>
      </w:r>
      <w:r>
        <w:rPr>
          <w:sz w:val="24"/>
        </w:rPr>
        <w:t>the</w:t>
      </w:r>
      <w:r>
        <w:rPr>
          <w:spacing w:val="-2"/>
          <w:sz w:val="24"/>
        </w:rPr>
        <w:t> </w:t>
      </w:r>
      <w:r>
        <w:rPr>
          <w:sz w:val="24"/>
        </w:rPr>
        <w:t>design</w:t>
      </w:r>
      <w:r>
        <w:rPr>
          <w:spacing w:val="-2"/>
          <w:sz w:val="24"/>
        </w:rPr>
        <w:t> </w:t>
      </w:r>
      <w:r>
        <w:rPr>
          <w:sz w:val="24"/>
        </w:rPr>
        <w:t>and</w:t>
      </w:r>
      <w:r>
        <w:rPr>
          <w:spacing w:val="-2"/>
          <w:sz w:val="24"/>
        </w:rPr>
        <w:t> </w:t>
      </w:r>
      <w:r>
        <w:rPr>
          <w:sz w:val="24"/>
        </w:rPr>
        <w:t>prepare</w:t>
      </w:r>
      <w:r>
        <w:rPr>
          <w:spacing w:val="-2"/>
          <w:sz w:val="24"/>
        </w:rPr>
        <w:t> </w:t>
      </w:r>
      <w:r>
        <w:rPr>
          <w:sz w:val="24"/>
        </w:rPr>
        <w:t>a</w:t>
      </w:r>
      <w:r>
        <w:rPr>
          <w:spacing w:val="-2"/>
          <w:sz w:val="24"/>
        </w:rPr>
        <w:t> </w:t>
      </w:r>
      <w:r>
        <w:rPr>
          <w:sz w:val="24"/>
        </w:rPr>
        <w:t>bill</w:t>
      </w:r>
      <w:r>
        <w:rPr>
          <w:spacing w:val="-2"/>
          <w:sz w:val="24"/>
        </w:rPr>
        <w:t> </w:t>
      </w:r>
      <w:r>
        <w:rPr>
          <w:sz w:val="24"/>
        </w:rPr>
        <w:t>of</w:t>
      </w:r>
      <w:r>
        <w:rPr>
          <w:spacing w:val="-2"/>
          <w:sz w:val="24"/>
        </w:rPr>
        <w:t> materials</w:t>
      </w:r>
    </w:p>
    <w:p>
      <w:pPr>
        <w:pStyle w:val="ListParagraph"/>
        <w:numPr>
          <w:ilvl w:val="0"/>
          <w:numId w:val="2"/>
        </w:numPr>
        <w:tabs>
          <w:tab w:pos="819" w:val="left" w:leader="none"/>
        </w:tabs>
        <w:spacing w:line="300" w:lineRule="exact" w:before="0" w:after="0"/>
        <w:ind w:left="819" w:right="0" w:hanging="359"/>
        <w:jc w:val="left"/>
        <w:rPr>
          <w:sz w:val="24"/>
        </w:rPr>
      </w:pPr>
      <w:r>
        <w:rPr>
          <w:sz w:val="24"/>
        </w:rPr>
        <w:t>Use soZware to design a printed circuit board to implement the </w:t>
      </w:r>
      <w:r>
        <w:rPr>
          <w:spacing w:val="-2"/>
          <w:sz w:val="24"/>
        </w:rPr>
        <w:t>circuit</w:t>
      </w:r>
    </w:p>
    <w:p>
      <w:pPr>
        <w:pStyle w:val="ListParagraph"/>
        <w:numPr>
          <w:ilvl w:val="0"/>
          <w:numId w:val="2"/>
        </w:numPr>
        <w:tabs>
          <w:tab w:pos="819" w:val="left" w:leader="none"/>
        </w:tabs>
        <w:spacing w:line="300" w:lineRule="exact" w:before="0" w:after="0"/>
        <w:ind w:left="819" w:right="0" w:hanging="359"/>
        <w:jc w:val="left"/>
        <w:rPr>
          <w:sz w:val="24"/>
        </w:rPr>
      </w:pPr>
      <w:r>
        <w:rPr>
          <w:sz w:val="24"/>
        </w:rPr>
        <w:t>Work</w:t>
      </w:r>
      <w:r>
        <w:rPr>
          <w:spacing w:val="-7"/>
          <w:sz w:val="24"/>
        </w:rPr>
        <w:t> </w:t>
      </w:r>
      <w:r>
        <w:rPr>
          <w:sz w:val="24"/>
        </w:rPr>
        <w:t>with</w:t>
      </w:r>
      <w:r>
        <w:rPr>
          <w:spacing w:val="-5"/>
          <w:sz w:val="24"/>
        </w:rPr>
        <w:t> </w:t>
      </w:r>
      <w:r>
        <w:rPr>
          <w:sz w:val="24"/>
        </w:rPr>
        <w:t>vendors</w:t>
      </w:r>
      <w:r>
        <w:rPr>
          <w:spacing w:val="-4"/>
          <w:sz w:val="24"/>
        </w:rPr>
        <w:t> </w:t>
      </w:r>
      <w:r>
        <w:rPr>
          <w:sz w:val="24"/>
        </w:rPr>
        <w:t>to</w:t>
      </w:r>
      <w:r>
        <w:rPr>
          <w:spacing w:val="-5"/>
          <w:sz w:val="24"/>
        </w:rPr>
        <w:t> </w:t>
      </w:r>
      <w:r>
        <w:rPr>
          <w:sz w:val="24"/>
        </w:rPr>
        <w:t>have</w:t>
      </w:r>
      <w:r>
        <w:rPr>
          <w:spacing w:val="-4"/>
          <w:sz w:val="24"/>
        </w:rPr>
        <w:t> </w:t>
      </w:r>
      <w:r>
        <w:rPr>
          <w:sz w:val="24"/>
        </w:rPr>
        <w:t>the</w:t>
      </w:r>
      <w:r>
        <w:rPr>
          <w:spacing w:val="-5"/>
          <w:sz w:val="24"/>
        </w:rPr>
        <w:t> </w:t>
      </w:r>
      <w:r>
        <w:rPr>
          <w:sz w:val="24"/>
        </w:rPr>
        <w:t>board</w:t>
      </w:r>
      <w:r>
        <w:rPr>
          <w:spacing w:val="-5"/>
          <w:sz w:val="24"/>
        </w:rPr>
        <w:t> </w:t>
      </w:r>
      <w:r>
        <w:rPr>
          <w:sz w:val="24"/>
        </w:rPr>
        <w:t>made</w:t>
      </w:r>
      <w:r>
        <w:rPr>
          <w:spacing w:val="-4"/>
          <w:sz w:val="24"/>
        </w:rPr>
        <w:t> </w:t>
      </w:r>
      <w:r>
        <w:rPr>
          <w:sz w:val="24"/>
        </w:rPr>
        <w:t>and</w:t>
      </w:r>
      <w:r>
        <w:rPr>
          <w:spacing w:val="-5"/>
          <w:sz w:val="24"/>
        </w:rPr>
        <w:t> </w:t>
      </w:r>
      <w:r>
        <w:rPr>
          <w:sz w:val="24"/>
        </w:rPr>
        <w:t>purchase</w:t>
      </w:r>
      <w:r>
        <w:rPr>
          <w:spacing w:val="-4"/>
          <w:sz w:val="24"/>
        </w:rPr>
        <w:t> </w:t>
      </w:r>
      <w:r>
        <w:rPr>
          <w:spacing w:val="-2"/>
          <w:sz w:val="24"/>
        </w:rPr>
        <w:t>parts</w:t>
      </w:r>
    </w:p>
    <w:p>
      <w:pPr>
        <w:pStyle w:val="ListParagraph"/>
        <w:numPr>
          <w:ilvl w:val="0"/>
          <w:numId w:val="2"/>
        </w:numPr>
        <w:tabs>
          <w:tab w:pos="819" w:val="left" w:leader="none"/>
        </w:tabs>
        <w:spacing w:line="300" w:lineRule="exact" w:before="0" w:after="0"/>
        <w:ind w:left="819" w:right="0" w:hanging="359"/>
        <w:jc w:val="left"/>
        <w:rPr>
          <w:sz w:val="24"/>
        </w:rPr>
      </w:pPr>
      <w:r>
        <w:rPr>
          <w:sz w:val="24"/>
        </w:rPr>
        <w:t>Assemble</w:t>
      </w:r>
      <w:r>
        <w:rPr>
          <w:spacing w:val="-7"/>
          <w:sz w:val="24"/>
        </w:rPr>
        <w:t> </w:t>
      </w:r>
      <w:r>
        <w:rPr>
          <w:sz w:val="24"/>
        </w:rPr>
        <w:t>the</w:t>
      </w:r>
      <w:r>
        <w:rPr>
          <w:spacing w:val="-4"/>
          <w:sz w:val="24"/>
        </w:rPr>
        <w:t> </w:t>
      </w:r>
      <w:r>
        <w:rPr>
          <w:sz w:val="24"/>
        </w:rPr>
        <w:t>circuit</w:t>
      </w:r>
      <w:r>
        <w:rPr>
          <w:spacing w:val="-4"/>
          <w:sz w:val="24"/>
        </w:rPr>
        <w:t> </w:t>
      </w:r>
      <w:r>
        <w:rPr>
          <w:sz w:val="24"/>
        </w:rPr>
        <w:t>using</w:t>
      </w:r>
      <w:r>
        <w:rPr>
          <w:spacing w:val="-5"/>
          <w:sz w:val="24"/>
        </w:rPr>
        <w:t> </w:t>
      </w:r>
      <w:r>
        <w:rPr>
          <w:sz w:val="24"/>
        </w:rPr>
        <w:t>techniques</w:t>
      </w:r>
      <w:r>
        <w:rPr>
          <w:spacing w:val="-4"/>
          <w:sz w:val="24"/>
        </w:rPr>
        <w:t> </w:t>
      </w:r>
      <w:r>
        <w:rPr>
          <w:sz w:val="24"/>
        </w:rPr>
        <w:t>appropriate</w:t>
      </w:r>
      <w:r>
        <w:rPr>
          <w:spacing w:val="-4"/>
          <w:sz w:val="24"/>
        </w:rPr>
        <w:t> </w:t>
      </w:r>
      <w:r>
        <w:rPr>
          <w:sz w:val="24"/>
        </w:rPr>
        <w:t>for</w:t>
      </w:r>
      <w:r>
        <w:rPr>
          <w:spacing w:val="-5"/>
          <w:sz w:val="24"/>
        </w:rPr>
        <w:t> </w:t>
      </w:r>
      <w:r>
        <w:rPr>
          <w:sz w:val="24"/>
        </w:rPr>
        <w:t>surface</w:t>
      </w:r>
      <w:r>
        <w:rPr>
          <w:spacing w:val="-4"/>
          <w:sz w:val="24"/>
        </w:rPr>
        <w:t> </w:t>
      </w:r>
      <w:r>
        <w:rPr>
          <w:sz w:val="24"/>
        </w:rPr>
        <w:t>mounted</w:t>
      </w:r>
      <w:r>
        <w:rPr>
          <w:spacing w:val="-4"/>
          <w:sz w:val="24"/>
        </w:rPr>
        <w:t> </w:t>
      </w:r>
      <w:r>
        <w:rPr>
          <w:spacing w:val="-2"/>
          <w:sz w:val="24"/>
        </w:rPr>
        <w:t>electronics</w:t>
      </w:r>
    </w:p>
    <w:p>
      <w:pPr>
        <w:pStyle w:val="ListParagraph"/>
        <w:numPr>
          <w:ilvl w:val="0"/>
          <w:numId w:val="2"/>
        </w:numPr>
        <w:tabs>
          <w:tab w:pos="819" w:val="left" w:leader="none"/>
        </w:tabs>
        <w:spacing w:line="300" w:lineRule="exact" w:before="0" w:after="0"/>
        <w:ind w:left="819" w:right="0" w:hanging="359"/>
        <w:jc w:val="left"/>
        <w:rPr>
          <w:sz w:val="24"/>
        </w:rPr>
      </w:pPr>
      <w:r>
        <w:rPr>
          <w:sz w:val="24"/>
        </w:rPr>
        <w:t>Understand</w:t>
      </w:r>
      <w:r>
        <w:rPr>
          <w:spacing w:val="-6"/>
          <w:sz w:val="24"/>
        </w:rPr>
        <w:t> </w:t>
      </w:r>
      <w:r>
        <w:rPr>
          <w:sz w:val="24"/>
        </w:rPr>
        <w:t>the</w:t>
      </w:r>
      <w:r>
        <w:rPr>
          <w:spacing w:val="-4"/>
          <w:sz w:val="24"/>
        </w:rPr>
        <w:t> </w:t>
      </w:r>
      <w:r>
        <w:rPr>
          <w:sz w:val="24"/>
        </w:rPr>
        <w:t>role</w:t>
      </w:r>
      <w:r>
        <w:rPr>
          <w:spacing w:val="-4"/>
          <w:sz w:val="24"/>
        </w:rPr>
        <w:t> </w:t>
      </w:r>
      <w:r>
        <w:rPr>
          <w:sz w:val="24"/>
        </w:rPr>
        <w:t>of</w:t>
      </w:r>
      <w:r>
        <w:rPr>
          <w:spacing w:val="-4"/>
          <w:sz w:val="24"/>
        </w:rPr>
        <w:t> </w:t>
      </w:r>
      <w:r>
        <w:rPr>
          <w:sz w:val="24"/>
        </w:rPr>
        <w:t>printed</w:t>
      </w:r>
      <w:r>
        <w:rPr>
          <w:spacing w:val="-4"/>
          <w:sz w:val="24"/>
        </w:rPr>
        <w:t> </w:t>
      </w:r>
      <w:r>
        <w:rPr>
          <w:sz w:val="24"/>
        </w:rPr>
        <w:t>circuit</w:t>
      </w:r>
      <w:r>
        <w:rPr>
          <w:spacing w:val="-4"/>
          <w:sz w:val="24"/>
        </w:rPr>
        <w:t> </w:t>
      </w:r>
      <w:r>
        <w:rPr>
          <w:sz w:val="24"/>
        </w:rPr>
        <w:t>boards</w:t>
      </w:r>
      <w:r>
        <w:rPr>
          <w:spacing w:val="-4"/>
          <w:sz w:val="24"/>
        </w:rPr>
        <w:t> </w:t>
      </w:r>
      <w:r>
        <w:rPr>
          <w:sz w:val="24"/>
        </w:rPr>
        <w:t>in</w:t>
      </w:r>
      <w:r>
        <w:rPr>
          <w:spacing w:val="-4"/>
          <w:sz w:val="24"/>
        </w:rPr>
        <w:t> </w:t>
      </w:r>
      <w:r>
        <w:rPr>
          <w:sz w:val="24"/>
        </w:rPr>
        <w:t>circuit</w:t>
      </w:r>
      <w:r>
        <w:rPr>
          <w:spacing w:val="-4"/>
          <w:sz w:val="24"/>
        </w:rPr>
        <w:t> </w:t>
      </w:r>
      <w:r>
        <w:rPr>
          <w:sz w:val="24"/>
        </w:rPr>
        <w:t>thermal</w:t>
      </w:r>
      <w:r>
        <w:rPr>
          <w:spacing w:val="-4"/>
          <w:sz w:val="24"/>
        </w:rPr>
        <w:t> </w:t>
      </w:r>
      <w:r>
        <w:rPr>
          <w:spacing w:val="-2"/>
          <w:sz w:val="24"/>
        </w:rPr>
        <w:t>management</w:t>
      </w:r>
    </w:p>
    <w:p>
      <w:pPr>
        <w:pStyle w:val="ListParagraph"/>
        <w:numPr>
          <w:ilvl w:val="0"/>
          <w:numId w:val="2"/>
        </w:numPr>
        <w:tabs>
          <w:tab w:pos="819" w:val="left" w:leader="none"/>
        </w:tabs>
        <w:spacing w:line="300" w:lineRule="exact" w:before="0" w:after="0"/>
        <w:ind w:left="819" w:right="0" w:hanging="359"/>
        <w:jc w:val="left"/>
        <w:rPr>
          <w:sz w:val="24"/>
        </w:rPr>
      </w:pPr>
      <w:r>
        <w:rPr>
          <w:sz w:val="24"/>
        </w:rPr>
        <w:t>Use</w:t>
      </w:r>
      <w:r>
        <w:rPr>
          <w:spacing w:val="1"/>
          <w:sz w:val="24"/>
        </w:rPr>
        <w:t> </w:t>
      </w:r>
      <w:r>
        <w:rPr>
          <w:sz w:val="24"/>
        </w:rPr>
        <w:t>3d</w:t>
      </w:r>
      <w:r>
        <w:rPr>
          <w:spacing w:val="2"/>
          <w:sz w:val="24"/>
        </w:rPr>
        <w:t> </w:t>
      </w:r>
      <w:r>
        <w:rPr>
          <w:sz w:val="24"/>
        </w:rPr>
        <w:t>CAD</w:t>
      </w:r>
      <w:r>
        <w:rPr>
          <w:spacing w:val="2"/>
          <w:sz w:val="24"/>
        </w:rPr>
        <w:t> </w:t>
      </w:r>
      <w:r>
        <w:rPr>
          <w:sz w:val="24"/>
        </w:rPr>
        <w:t>soZware</w:t>
      </w:r>
      <w:r>
        <w:rPr>
          <w:spacing w:val="2"/>
          <w:sz w:val="24"/>
        </w:rPr>
        <w:t> </w:t>
      </w:r>
      <w:r>
        <w:rPr>
          <w:sz w:val="24"/>
        </w:rPr>
        <w:t>to</w:t>
      </w:r>
      <w:r>
        <w:rPr>
          <w:spacing w:val="2"/>
          <w:sz w:val="24"/>
        </w:rPr>
        <w:t> </w:t>
      </w:r>
      <w:r>
        <w:rPr>
          <w:sz w:val="24"/>
        </w:rPr>
        <w:t>design</w:t>
      </w:r>
      <w:r>
        <w:rPr>
          <w:spacing w:val="2"/>
          <w:sz w:val="24"/>
        </w:rPr>
        <w:t> </w:t>
      </w:r>
      <w:r>
        <w:rPr>
          <w:sz w:val="24"/>
        </w:rPr>
        <w:t>a</w:t>
      </w:r>
      <w:r>
        <w:rPr>
          <w:spacing w:val="2"/>
          <w:sz w:val="24"/>
        </w:rPr>
        <w:t> </w:t>
      </w:r>
      <w:r>
        <w:rPr>
          <w:sz w:val="24"/>
        </w:rPr>
        <w:t>project</w:t>
      </w:r>
      <w:r>
        <w:rPr>
          <w:spacing w:val="2"/>
          <w:sz w:val="24"/>
        </w:rPr>
        <w:t> </w:t>
      </w:r>
      <w:r>
        <w:rPr>
          <w:spacing w:val="-2"/>
          <w:sz w:val="24"/>
        </w:rPr>
        <w:t>enclosure</w:t>
      </w:r>
    </w:p>
    <w:p>
      <w:pPr>
        <w:pStyle w:val="ListParagraph"/>
        <w:numPr>
          <w:ilvl w:val="0"/>
          <w:numId w:val="2"/>
        </w:numPr>
        <w:tabs>
          <w:tab w:pos="819" w:val="left" w:leader="none"/>
        </w:tabs>
        <w:spacing w:line="300" w:lineRule="exact" w:before="0" w:after="0"/>
        <w:ind w:left="819" w:right="0" w:hanging="359"/>
        <w:jc w:val="left"/>
        <w:rPr>
          <w:sz w:val="24"/>
        </w:rPr>
      </w:pPr>
      <w:r>
        <w:rPr>
          <w:sz w:val="24"/>
        </w:rPr>
        <w:t>Use</w:t>
      </w:r>
      <w:r>
        <w:rPr>
          <w:spacing w:val="-3"/>
          <w:sz w:val="24"/>
        </w:rPr>
        <w:t> </w:t>
      </w:r>
      <w:r>
        <w:rPr>
          <w:sz w:val="24"/>
        </w:rPr>
        <w:t>a</w:t>
      </w:r>
      <w:r>
        <w:rPr>
          <w:spacing w:val="-3"/>
          <w:sz w:val="24"/>
        </w:rPr>
        <w:t> </w:t>
      </w:r>
      <w:r>
        <w:rPr>
          <w:sz w:val="24"/>
        </w:rPr>
        <w:t>3d</w:t>
      </w:r>
      <w:r>
        <w:rPr>
          <w:spacing w:val="-3"/>
          <w:sz w:val="24"/>
        </w:rPr>
        <w:t> </w:t>
      </w:r>
      <w:r>
        <w:rPr>
          <w:sz w:val="24"/>
        </w:rPr>
        <w:t>printer</w:t>
      </w:r>
      <w:r>
        <w:rPr>
          <w:spacing w:val="-2"/>
          <w:sz w:val="24"/>
        </w:rPr>
        <w:t> </w:t>
      </w:r>
      <w:r>
        <w:rPr>
          <w:sz w:val="24"/>
        </w:rPr>
        <w:t>to</w:t>
      </w:r>
      <w:r>
        <w:rPr>
          <w:spacing w:val="-3"/>
          <w:sz w:val="24"/>
        </w:rPr>
        <w:t> </w:t>
      </w:r>
      <w:r>
        <w:rPr>
          <w:sz w:val="24"/>
        </w:rPr>
        <w:t>prototype</w:t>
      </w:r>
      <w:r>
        <w:rPr>
          <w:spacing w:val="-3"/>
          <w:sz w:val="24"/>
        </w:rPr>
        <w:t> </w:t>
      </w:r>
      <w:r>
        <w:rPr>
          <w:sz w:val="24"/>
        </w:rPr>
        <w:t>the</w:t>
      </w:r>
      <w:r>
        <w:rPr>
          <w:spacing w:val="-2"/>
          <w:sz w:val="24"/>
        </w:rPr>
        <w:t> enclosure</w:t>
      </w:r>
    </w:p>
    <w:p>
      <w:pPr>
        <w:pStyle w:val="ListParagraph"/>
        <w:numPr>
          <w:ilvl w:val="0"/>
          <w:numId w:val="2"/>
        </w:numPr>
        <w:tabs>
          <w:tab w:pos="819" w:val="left" w:leader="none"/>
        </w:tabs>
        <w:spacing w:line="313" w:lineRule="exact" w:before="0" w:after="0"/>
        <w:ind w:left="819" w:right="0" w:hanging="359"/>
        <w:jc w:val="left"/>
        <w:rPr>
          <w:sz w:val="24"/>
        </w:rPr>
      </w:pPr>
      <w:r>
        <w:rPr>
          <w:sz w:val="24"/>
        </w:rPr>
        <w:t>Prepare</w:t>
      </w:r>
      <w:r>
        <w:rPr>
          <w:spacing w:val="-5"/>
          <w:sz w:val="24"/>
        </w:rPr>
        <w:t> </w:t>
      </w:r>
      <w:r>
        <w:rPr>
          <w:sz w:val="24"/>
        </w:rPr>
        <w:t>engineering</w:t>
      </w:r>
      <w:r>
        <w:rPr>
          <w:spacing w:val="-5"/>
          <w:sz w:val="24"/>
        </w:rPr>
        <w:t> </w:t>
      </w:r>
      <w:r>
        <w:rPr>
          <w:sz w:val="24"/>
        </w:rPr>
        <w:t>documentaBon</w:t>
      </w:r>
      <w:r>
        <w:rPr>
          <w:spacing w:val="-5"/>
          <w:sz w:val="24"/>
        </w:rPr>
        <w:t> </w:t>
      </w:r>
      <w:r>
        <w:rPr>
          <w:sz w:val="24"/>
        </w:rPr>
        <w:t>for</w:t>
      </w:r>
      <w:r>
        <w:rPr>
          <w:spacing w:val="-5"/>
          <w:sz w:val="24"/>
        </w:rPr>
        <w:t> </w:t>
      </w:r>
      <w:r>
        <w:rPr>
          <w:sz w:val="24"/>
        </w:rPr>
        <w:t>the</w:t>
      </w:r>
      <w:r>
        <w:rPr>
          <w:spacing w:val="-5"/>
          <w:sz w:val="24"/>
        </w:rPr>
        <w:t> </w:t>
      </w:r>
      <w:r>
        <w:rPr>
          <w:spacing w:val="-2"/>
          <w:sz w:val="24"/>
        </w:rPr>
        <w:t>project</w:t>
      </w:r>
    </w:p>
    <w:p>
      <w:pPr>
        <w:pStyle w:val="BodyText"/>
        <w:spacing w:line="244" w:lineRule="auto" w:before="247"/>
        <w:ind w:right="138"/>
        <w:jc w:val="both"/>
      </w:pPr>
      <w:r>
        <w:rPr>
          <w:b/>
        </w:rPr>
        <w:t>Laboratory work: </w:t>
      </w:r>
      <w:r>
        <w:rPr/>
        <w:t>Each student will be making their own designs and performing their own labs.</w:t>
      </w:r>
      <w:r>
        <w:rPr>
          <w:spacing w:val="-4"/>
        </w:rPr>
        <w:t> </w:t>
      </w:r>
      <w:r>
        <w:rPr/>
        <w:t>In</w:t>
      </w:r>
      <w:r>
        <w:rPr>
          <w:spacing w:val="-4"/>
        </w:rPr>
        <w:t> </w:t>
      </w:r>
      <w:r>
        <w:rPr/>
        <w:t>addiBon,</w:t>
      </w:r>
      <w:r>
        <w:rPr>
          <w:spacing w:val="-4"/>
        </w:rPr>
        <w:t> </w:t>
      </w:r>
      <w:r>
        <w:rPr/>
        <w:t>there</w:t>
      </w:r>
      <w:r>
        <w:rPr>
          <w:spacing w:val="-4"/>
        </w:rPr>
        <w:t> </w:t>
      </w:r>
      <w:r>
        <w:rPr/>
        <w:t>are</w:t>
      </w:r>
      <w:r>
        <w:rPr>
          <w:spacing w:val="-4"/>
        </w:rPr>
        <w:t> </w:t>
      </w:r>
      <w:r>
        <w:rPr/>
        <w:t>labs</w:t>
      </w:r>
      <w:r>
        <w:rPr>
          <w:spacing w:val="-4"/>
        </w:rPr>
        <w:t> </w:t>
      </w:r>
      <w:r>
        <w:rPr/>
        <w:t>to</w:t>
      </w:r>
      <w:r>
        <w:rPr>
          <w:spacing w:val="-4"/>
        </w:rPr>
        <w:t> </w:t>
      </w:r>
      <w:r>
        <w:rPr/>
        <w:t>develop</w:t>
      </w:r>
      <w:r>
        <w:rPr>
          <w:spacing w:val="-4"/>
        </w:rPr>
        <w:t> </w:t>
      </w:r>
      <w:r>
        <w:rPr/>
        <w:t>familiarity</w:t>
      </w:r>
      <w:r>
        <w:rPr>
          <w:spacing w:val="-4"/>
        </w:rPr>
        <w:t> </w:t>
      </w:r>
      <w:r>
        <w:rPr/>
        <w:t>with</w:t>
      </w:r>
      <w:r>
        <w:rPr>
          <w:spacing w:val="-4"/>
        </w:rPr>
        <w:t> </w:t>
      </w:r>
      <w:r>
        <w:rPr/>
        <w:t>the</w:t>
      </w:r>
      <w:r>
        <w:rPr>
          <w:spacing w:val="-4"/>
        </w:rPr>
        <w:t> </w:t>
      </w:r>
      <w:r>
        <w:rPr/>
        <w:t>concepts</w:t>
      </w:r>
      <w:r>
        <w:rPr>
          <w:spacing w:val="-4"/>
        </w:rPr>
        <w:t> </w:t>
      </w:r>
      <w:r>
        <w:rPr/>
        <w:t>and</w:t>
      </w:r>
      <w:r>
        <w:rPr>
          <w:spacing w:val="-4"/>
        </w:rPr>
        <w:t> </w:t>
      </w:r>
      <w:r>
        <w:rPr/>
        <w:t>tools</w:t>
      </w:r>
      <w:r>
        <w:rPr>
          <w:spacing w:val="-4"/>
        </w:rPr>
        <w:t> </w:t>
      </w:r>
      <w:r>
        <w:rPr/>
        <w:t>you</w:t>
      </w:r>
      <w:r>
        <w:rPr>
          <w:spacing w:val="-4"/>
        </w:rPr>
        <w:t> </w:t>
      </w:r>
      <w:r>
        <w:rPr/>
        <w:t>will</w:t>
      </w:r>
      <w:r>
        <w:rPr>
          <w:spacing w:val="-4"/>
        </w:rPr>
        <w:t> </w:t>
      </w:r>
      <w:r>
        <w:rPr/>
        <w:t>be using later for your own design. You will not be working in groups.</w:t>
      </w:r>
    </w:p>
    <w:p>
      <w:pPr>
        <w:pStyle w:val="BodyText"/>
        <w:spacing w:line="244" w:lineRule="auto" w:before="124"/>
        <w:ind w:right="138"/>
        <w:jc w:val="both"/>
      </w:pPr>
      <w:r>
        <w:rPr/>
        <w:t>We will be using leaded solder in the lab. No food will be permi]ed in the lab. You are required to observe all safety rules as the materials and equipment in the lab is hazardous.</w:t>
      </w:r>
    </w:p>
    <w:p>
      <w:pPr>
        <w:spacing w:after="0" w:line="244" w:lineRule="auto"/>
        <w:jc w:val="both"/>
        <w:sectPr>
          <w:pgSz w:w="12240" w:h="15840"/>
          <w:pgMar w:top="1360" w:bottom="280" w:left="1340" w:right="1660"/>
        </w:sectPr>
      </w:pPr>
    </w:p>
    <w:p>
      <w:pPr>
        <w:pStyle w:val="BodyText"/>
        <w:spacing w:line="244" w:lineRule="auto" w:before="38"/>
        <w:ind w:right="137"/>
        <w:jc w:val="both"/>
      </w:pPr>
      <w:r>
        <w:rPr>
          <w:b/>
        </w:rPr>
        <w:t>Exams: </w:t>
      </w:r>
      <w:r>
        <w:rPr/>
        <w:t>There will be one midterm exam and a ﬁnal exam. The midterm exam will be delivered via Brightspace − you will be given a week to compete the exam. The ﬁnal exam will take the form of a presentaBon. The ﬁnal exam presentaBons will be on Tuesday December 15</w:t>
      </w:r>
      <w:r>
        <w:rPr>
          <w:position w:val="5"/>
          <w:sz w:val="16"/>
        </w:rPr>
        <w:t>th</w:t>
      </w:r>
      <w:r>
        <w:rPr>
          <w:spacing w:val="26"/>
          <w:position w:val="5"/>
          <w:sz w:val="16"/>
        </w:rPr>
        <w:t> </w:t>
      </w:r>
      <w:r>
        <w:rPr/>
        <w:t>from 5:30 pm to 8:00 pm. Alternately, students may elect to present during the ﬁnal week of class as Bme permits.</w:t>
      </w:r>
    </w:p>
    <w:p>
      <w:pPr>
        <w:pStyle w:val="BodyText"/>
        <w:spacing w:before="246"/>
        <w:jc w:val="both"/>
      </w:pPr>
      <w:r>
        <w:rPr>
          <w:b/>
        </w:rPr>
        <w:t>Grading:</w:t>
      </w:r>
      <w:r>
        <w:rPr>
          <w:b/>
          <w:spacing w:val="-4"/>
        </w:rPr>
        <w:t> </w:t>
      </w:r>
      <w:r>
        <w:rPr/>
        <w:t>The</w:t>
      </w:r>
      <w:r>
        <w:rPr>
          <w:spacing w:val="-5"/>
        </w:rPr>
        <w:t> </w:t>
      </w:r>
      <w:r>
        <w:rPr/>
        <w:t>ﬁnal</w:t>
      </w:r>
      <w:r>
        <w:rPr>
          <w:spacing w:val="-3"/>
        </w:rPr>
        <w:t> </w:t>
      </w:r>
      <w:r>
        <w:rPr/>
        <w:t>grade</w:t>
      </w:r>
      <w:r>
        <w:rPr>
          <w:spacing w:val="-4"/>
        </w:rPr>
        <w:t> </w:t>
      </w:r>
      <w:r>
        <w:rPr/>
        <w:t>will</w:t>
      </w:r>
      <w:r>
        <w:rPr>
          <w:spacing w:val="-4"/>
        </w:rPr>
        <w:t> </w:t>
      </w:r>
      <w:r>
        <w:rPr/>
        <w:t>be</w:t>
      </w:r>
      <w:r>
        <w:rPr>
          <w:spacing w:val="-3"/>
        </w:rPr>
        <w:t> </w:t>
      </w:r>
      <w:r>
        <w:rPr/>
        <w:t>weighted</w:t>
      </w:r>
      <w:r>
        <w:rPr>
          <w:spacing w:val="-4"/>
        </w:rPr>
        <w:t> </w:t>
      </w:r>
      <w:r>
        <w:rPr/>
        <w:t>as</w:t>
      </w:r>
      <w:r>
        <w:rPr>
          <w:spacing w:val="-3"/>
        </w:rPr>
        <w:t> </w:t>
      </w:r>
      <w:r>
        <w:rPr>
          <w:spacing w:val="-2"/>
        </w:rPr>
        <w:t>follows:</w:t>
      </w:r>
    </w:p>
    <w:p>
      <w:pPr>
        <w:pStyle w:val="BodyText"/>
        <w:spacing w:before="5"/>
        <w:ind w:left="0"/>
        <w:rPr>
          <w:sz w:val="14"/>
        </w:rPr>
      </w:pPr>
    </w:p>
    <w:tbl>
      <w:tblPr>
        <w:tblW w:w="0" w:type="auto"/>
        <w:jc w:val="left"/>
        <w:tblInd w:w="7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61"/>
        <w:gridCol w:w="553"/>
      </w:tblGrid>
      <w:tr>
        <w:trPr>
          <w:trHeight w:val="330" w:hRule="atLeast"/>
        </w:trPr>
        <w:tc>
          <w:tcPr>
            <w:tcW w:w="3561" w:type="dxa"/>
          </w:tcPr>
          <w:p>
            <w:pPr>
              <w:pStyle w:val="TableParagraph"/>
              <w:spacing w:line="244" w:lineRule="exact" w:before="0"/>
              <w:ind w:left="50"/>
              <w:rPr>
                <w:sz w:val="24"/>
              </w:rPr>
            </w:pPr>
            <w:r>
              <w:rPr>
                <w:sz w:val="24"/>
              </w:rPr>
              <w:t>Preliminary</w:t>
            </w:r>
            <w:r>
              <w:rPr>
                <w:spacing w:val="-4"/>
                <w:sz w:val="24"/>
              </w:rPr>
              <w:t> </w:t>
            </w:r>
            <w:r>
              <w:rPr>
                <w:sz w:val="24"/>
              </w:rPr>
              <w:t>design</w:t>
            </w:r>
            <w:r>
              <w:rPr>
                <w:spacing w:val="-4"/>
                <w:sz w:val="24"/>
              </w:rPr>
              <w:t> </w:t>
            </w:r>
            <w:r>
              <w:rPr>
                <w:sz w:val="24"/>
              </w:rPr>
              <w:t>review</w:t>
            </w:r>
            <w:r>
              <w:rPr>
                <w:spacing w:val="-3"/>
                <w:sz w:val="24"/>
              </w:rPr>
              <w:t> </w:t>
            </w:r>
            <w:r>
              <w:rPr>
                <w:spacing w:val="-2"/>
                <w:sz w:val="24"/>
              </w:rPr>
              <w:t>paper:</w:t>
            </w:r>
          </w:p>
        </w:tc>
        <w:tc>
          <w:tcPr>
            <w:tcW w:w="553" w:type="dxa"/>
          </w:tcPr>
          <w:p>
            <w:pPr>
              <w:pStyle w:val="TableParagraph"/>
              <w:spacing w:line="244" w:lineRule="exact" w:before="0"/>
              <w:ind w:left="39"/>
              <w:jc w:val="center"/>
              <w:rPr>
                <w:sz w:val="24"/>
              </w:rPr>
            </w:pPr>
            <w:r>
              <w:rPr>
                <w:spacing w:val="-5"/>
                <w:sz w:val="24"/>
              </w:rPr>
              <w:t>20%</w:t>
            </w:r>
          </w:p>
        </w:tc>
      </w:tr>
      <w:tr>
        <w:trPr>
          <w:trHeight w:val="420" w:hRule="atLeast"/>
        </w:trPr>
        <w:tc>
          <w:tcPr>
            <w:tcW w:w="3561" w:type="dxa"/>
          </w:tcPr>
          <w:p>
            <w:pPr>
              <w:pStyle w:val="TableParagraph"/>
              <w:spacing w:before="41"/>
              <w:ind w:left="50"/>
              <w:rPr>
                <w:sz w:val="24"/>
              </w:rPr>
            </w:pPr>
            <w:r>
              <w:rPr>
                <w:sz w:val="24"/>
              </w:rPr>
              <w:t>Lab</w:t>
            </w:r>
            <w:r>
              <w:rPr>
                <w:spacing w:val="-1"/>
                <w:sz w:val="24"/>
              </w:rPr>
              <w:t> </w:t>
            </w:r>
            <w:r>
              <w:rPr>
                <w:spacing w:val="-2"/>
                <w:sz w:val="24"/>
              </w:rPr>
              <w:t>assignments</w:t>
            </w:r>
          </w:p>
        </w:tc>
        <w:tc>
          <w:tcPr>
            <w:tcW w:w="553" w:type="dxa"/>
          </w:tcPr>
          <w:p>
            <w:pPr>
              <w:pStyle w:val="TableParagraph"/>
              <w:spacing w:before="41"/>
              <w:ind w:left="39"/>
              <w:jc w:val="center"/>
              <w:rPr>
                <w:sz w:val="24"/>
              </w:rPr>
            </w:pPr>
            <w:r>
              <w:rPr>
                <w:spacing w:val="-5"/>
                <w:sz w:val="24"/>
              </w:rPr>
              <w:t>25%</w:t>
            </w:r>
          </w:p>
        </w:tc>
      </w:tr>
      <w:tr>
        <w:trPr>
          <w:trHeight w:val="420" w:hRule="atLeast"/>
        </w:trPr>
        <w:tc>
          <w:tcPr>
            <w:tcW w:w="3561" w:type="dxa"/>
          </w:tcPr>
          <w:p>
            <w:pPr>
              <w:pStyle w:val="TableParagraph"/>
              <w:spacing w:before="41"/>
              <w:ind w:left="50"/>
              <w:rPr>
                <w:sz w:val="24"/>
              </w:rPr>
            </w:pPr>
            <w:r>
              <w:rPr>
                <w:sz w:val="24"/>
              </w:rPr>
              <w:t>Midterm</w:t>
            </w:r>
            <w:r>
              <w:rPr>
                <w:spacing w:val="-4"/>
                <w:sz w:val="24"/>
              </w:rPr>
              <w:t> </w:t>
            </w:r>
            <w:r>
              <w:rPr>
                <w:spacing w:val="-2"/>
                <w:sz w:val="24"/>
              </w:rPr>
              <w:t>exam:</w:t>
            </w:r>
          </w:p>
        </w:tc>
        <w:tc>
          <w:tcPr>
            <w:tcW w:w="553" w:type="dxa"/>
          </w:tcPr>
          <w:p>
            <w:pPr>
              <w:pStyle w:val="TableParagraph"/>
              <w:spacing w:before="41"/>
              <w:ind w:left="39"/>
              <w:jc w:val="center"/>
              <w:rPr>
                <w:sz w:val="24"/>
              </w:rPr>
            </w:pPr>
            <w:r>
              <w:rPr>
                <w:spacing w:val="-5"/>
                <w:sz w:val="24"/>
              </w:rPr>
              <w:t>15%</w:t>
            </w:r>
          </w:p>
        </w:tc>
      </w:tr>
      <w:tr>
        <w:trPr>
          <w:trHeight w:val="420" w:hRule="atLeast"/>
        </w:trPr>
        <w:tc>
          <w:tcPr>
            <w:tcW w:w="3561" w:type="dxa"/>
          </w:tcPr>
          <w:p>
            <w:pPr>
              <w:pStyle w:val="TableParagraph"/>
              <w:spacing w:before="41"/>
              <w:ind w:left="50"/>
              <w:rPr>
                <w:sz w:val="24"/>
              </w:rPr>
            </w:pPr>
            <w:r>
              <w:rPr>
                <w:sz w:val="24"/>
              </w:rPr>
              <w:t>CriBcal</w:t>
            </w:r>
            <w:r>
              <w:rPr>
                <w:spacing w:val="-4"/>
                <w:sz w:val="24"/>
              </w:rPr>
              <w:t> </w:t>
            </w:r>
            <w:r>
              <w:rPr>
                <w:sz w:val="24"/>
              </w:rPr>
              <w:t>design</w:t>
            </w:r>
            <w:r>
              <w:rPr>
                <w:spacing w:val="-3"/>
                <w:sz w:val="24"/>
              </w:rPr>
              <w:t> </w:t>
            </w:r>
            <w:r>
              <w:rPr>
                <w:sz w:val="24"/>
              </w:rPr>
              <w:t>review</w:t>
            </w:r>
            <w:r>
              <w:rPr>
                <w:spacing w:val="-4"/>
                <w:sz w:val="24"/>
              </w:rPr>
              <w:t> </w:t>
            </w:r>
            <w:r>
              <w:rPr>
                <w:spacing w:val="-2"/>
                <w:sz w:val="24"/>
              </w:rPr>
              <w:t>paper:</w:t>
            </w:r>
          </w:p>
        </w:tc>
        <w:tc>
          <w:tcPr>
            <w:tcW w:w="553" w:type="dxa"/>
          </w:tcPr>
          <w:p>
            <w:pPr>
              <w:pStyle w:val="TableParagraph"/>
              <w:spacing w:before="41"/>
              <w:ind w:left="39"/>
              <w:jc w:val="center"/>
              <w:rPr>
                <w:sz w:val="24"/>
              </w:rPr>
            </w:pPr>
            <w:r>
              <w:rPr>
                <w:spacing w:val="-5"/>
                <w:sz w:val="24"/>
              </w:rPr>
              <w:t>30%</w:t>
            </w:r>
          </w:p>
        </w:tc>
      </w:tr>
      <w:tr>
        <w:trPr>
          <w:trHeight w:val="330" w:hRule="atLeast"/>
        </w:trPr>
        <w:tc>
          <w:tcPr>
            <w:tcW w:w="3561" w:type="dxa"/>
          </w:tcPr>
          <w:p>
            <w:pPr>
              <w:pStyle w:val="TableParagraph"/>
              <w:spacing w:line="269" w:lineRule="exact" w:before="41"/>
              <w:ind w:left="50"/>
              <w:rPr>
                <w:sz w:val="24"/>
              </w:rPr>
            </w:pPr>
            <w:r>
              <w:rPr>
                <w:sz w:val="24"/>
              </w:rPr>
              <w:t>CriBcal</w:t>
            </w:r>
            <w:r>
              <w:rPr>
                <w:spacing w:val="-4"/>
                <w:sz w:val="24"/>
              </w:rPr>
              <w:t> </w:t>
            </w:r>
            <w:r>
              <w:rPr>
                <w:sz w:val="24"/>
              </w:rPr>
              <w:t>design</w:t>
            </w:r>
            <w:r>
              <w:rPr>
                <w:spacing w:val="-3"/>
                <w:sz w:val="24"/>
              </w:rPr>
              <w:t> </w:t>
            </w:r>
            <w:r>
              <w:rPr>
                <w:sz w:val="24"/>
              </w:rPr>
              <w:t>review</w:t>
            </w:r>
            <w:r>
              <w:rPr>
                <w:spacing w:val="-4"/>
                <w:sz w:val="24"/>
              </w:rPr>
              <w:t> </w:t>
            </w:r>
            <w:r>
              <w:rPr>
                <w:spacing w:val="-2"/>
                <w:sz w:val="24"/>
              </w:rPr>
              <w:t>presentaBon:</w:t>
            </w:r>
          </w:p>
        </w:tc>
        <w:tc>
          <w:tcPr>
            <w:tcW w:w="553" w:type="dxa"/>
          </w:tcPr>
          <w:p>
            <w:pPr>
              <w:pStyle w:val="TableParagraph"/>
              <w:spacing w:line="269" w:lineRule="exact" w:before="41"/>
              <w:ind w:left="39"/>
              <w:jc w:val="center"/>
              <w:rPr>
                <w:sz w:val="24"/>
              </w:rPr>
            </w:pPr>
            <w:r>
              <w:rPr>
                <w:spacing w:val="-5"/>
                <w:sz w:val="24"/>
              </w:rPr>
              <w:t>10%</w:t>
            </w:r>
          </w:p>
        </w:tc>
      </w:tr>
    </w:tbl>
    <w:p>
      <w:pPr>
        <w:pStyle w:val="BodyText"/>
        <w:spacing w:line="244" w:lineRule="auto" w:before="131"/>
        <w:ind w:right="137"/>
        <w:jc w:val="both"/>
      </w:pPr>
      <w:r>
        <w:rPr>
          <w:b/>
        </w:rPr>
        <w:t>Schedule: </w:t>
      </w:r>
      <w:r>
        <w:rPr/>
        <w:t>The prototyping lab will be open for your use per a schedule posted online. The schedule may change from week to week, so please check before a]ending. There are no assigned laboratory Bmes – you can come in whenever the lab is open. The lab can only accommodate a handful of students at a Bme − plan ahead to avoid a crush.</w:t>
      </w:r>
    </w:p>
    <w:p>
      <w:pPr>
        <w:pStyle w:val="BodyText"/>
        <w:spacing w:line="244" w:lineRule="auto" w:before="125"/>
        <w:ind w:right="139"/>
        <w:jc w:val="both"/>
      </w:pPr>
      <w:r>
        <w:rPr/>
        <w:t>Laboratories will be conducted in Light Engineering room 283A. Labs will begin meeBng on the third week of the semester.</w:t>
      </w:r>
    </w:p>
    <w:p>
      <w:pPr>
        <w:pStyle w:val="BodyText"/>
        <w:spacing w:line="244" w:lineRule="auto" w:before="122"/>
        <w:ind w:right="138"/>
        <w:jc w:val="both"/>
      </w:pPr>
      <w:r>
        <w:rPr/>
        <w:t>My oﬃce hours are on Wednesday from 6:30 PM unBl 8:00 PM and on Thursday from 6:30 PM unBl 8:00 PM in Light Engineering 143. I will be happy to meet at other Bmes by </w:t>
      </w:r>
      <w:r>
        <w:rPr>
          <w:spacing w:val="-2"/>
        </w:rPr>
        <w:t>appointment.</w:t>
      </w:r>
    </w:p>
    <w:p>
      <w:pPr>
        <w:pStyle w:val="BodyText"/>
        <w:spacing w:line="244" w:lineRule="auto" w:before="124"/>
        <w:ind w:right="139"/>
        <w:jc w:val="both"/>
      </w:pPr>
      <w:r>
        <w:rPr>
          <w:b/>
        </w:rPr>
        <w:t>Contact Informa%on: </w:t>
      </w:r>
      <w:r>
        <w:rPr/>
        <w:t>David Westerfeld: </w:t>
      </w:r>
      <w:hyperlink r:id="rId5">
        <w:r>
          <w:rPr>
            <w:color w:val="0000FF"/>
            <w:u w:val="single" w:color="0000FF"/>
          </w:rPr>
          <w:t>david.westerfeld@stonybrook.edu</w:t>
        </w:r>
        <w:r>
          <w:rPr>
            <w:u w:val="none"/>
          </w:rPr>
          <w:t>.</w:t>
        </w:r>
      </w:hyperlink>
      <w:r>
        <w:rPr>
          <w:u w:val="none"/>
        </w:rPr>
        <w:t> Contact informaBon for the Teaching Assistants will be provided on Brightspace.</w:t>
      </w:r>
    </w:p>
    <w:p>
      <w:pPr>
        <w:pStyle w:val="BodyText"/>
        <w:spacing w:line="244" w:lineRule="auto" w:before="122"/>
        <w:ind w:right="138"/>
        <w:jc w:val="both"/>
      </w:pPr>
      <w:r>
        <w:rPr/>
        <w:t>The University Senate has authorized that the following required statements appear in all teaching syllabi on the Stony Brook Campus:</w:t>
      </w:r>
    </w:p>
    <w:p>
      <w:pPr>
        <w:pStyle w:val="Heading1"/>
        <w:spacing w:before="122"/>
      </w:pPr>
      <w:r>
        <w:rPr/>
        <w:t>Disability</w:t>
      </w:r>
      <w:r>
        <w:rPr>
          <w:spacing w:val="-5"/>
        </w:rPr>
        <w:t> </w:t>
      </w:r>
      <w:r>
        <w:rPr/>
        <w:t>Support</w:t>
      </w:r>
      <w:r>
        <w:rPr>
          <w:spacing w:val="-4"/>
        </w:rPr>
        <w:t> </w:t>
      </w:r>
      <w:r>
        <w:rPr/>
        <w:t>Services</w:t>
      </w:r>
      <w:r>
        <w:rPr>
          <w:spacing w:val="-5"/>
        </w:rPr>
        <w:t> </w:t>
      </w:r>
      <w:r>
        <w:rPr/>
        <w:t>(DSS)</w:t>
      </w:r>
      <w:r>
        <w:rPr>
          <w:spacing w:val="-4"/>
        </w:rPr>
        <w:t> </w:t>
      </w:r>
      <w:r>
        <w:rPr>
          <w:spacing w:val="-2"/>
        </w:rPr>
        <w:t>Statement:</w:t>
      </w:r>
    </w:p>
    <w:p>
      <w:pPr>
        <w:pStyle w:val="BodyText"/>
        <w:spacing w:line="244" w:lineRule="auto" w:before="127"/>
        <w:ind w:left="820" w:right="138"/>
        <w:jc w:val="both"/>
      </w:pPr>
      <w:r>
        <w:rPr/>
        <w:t>If you have a physical, psychological, medical or learning disability that may impact your course work, please contact Disability Support Services, ECC (EducaBonal CommunicaBons Center) Building, room 128, (631) 632-6748. They will determine with you what accommodaBons, if any, are necessary and appropriate. All informaBon and documentaBon is conﬁdenBal.</w:t>
      </w:r>
    </w:p>
    <w:p>
      <w:pPr>
        <w:pStyle w:val="BodyText"/>
        <w:spacing w:line="244" w:lineRule="auto" w:before="126"/>
        <w:ind w:left="820" w:right="114"/>
        <w:jc w:val="both"/>
      </w:pPr>
      <w:r>
        <w:rPr/>
        <w:t>Students who require assistance during emergency evacuaBon are encouraged to discuss their needs with their professors and Disability Support Services. For </w:t>
      </w:r>
      <w:r>
        <w:rPr>
          <w:spacing w:val="20"/>
        </w:rPr>
        <w:t>procedures</w:t>
      </w:r>
      <w:r>
        <w:rPr>
          <w:spacing w:val="20"/>
        </w:rPr>
        <w:t> </w:t>
      </w:r>
      <w:r>
        <w:rPr>
          <w:spacing w:val="15"/>
        </w:rPr>
        <w:t>and</w:t>
      </w:r>
      <w:r>
        <w:rPr>
          <w:spacing w:val="15"/>
        </w:rPr>
        <w:t> </w:t>
      </w:r>
      <w:r>
        <w:rPr>
          <w:spacing w:val="19"/>
        </w:rPr>
        <w:t>informaBon</w:t>
      </w:r>
      <w:r>
        <w:rPr>
          <w:spacing w:val="19"/>
        </w:rPr>
        <w:t> </w:t>
      </w:r>
      <w:r>
        <w:rPr>
          <w:spacing w:val="10"/>
        </w:rPr>
        <w:t>go</w:t>
      </w:r>
      <w:r>
        <w:rPr>
          <w:spacing w:val="10"/>
        </w:rPr>
        <w:t> to</w:t>
      </w:r>
      <w:r>
        <w:rPr>
          <w:spacing w:val="10"/>
        </w:rPr>
        <w:t> </w:t>
      </w:r>
      <w:r>
        <w:rPr>
          <w:spacing w:val="15"/>
        </w:rPr>
        <w:t>the</w:t>
      </w:r>
      <w:r>
        <w:rPr>
          <w:spacing w:val="15"/>
        </w:rPr>
        <w:t> </w:t>
      </w:r>
      <w:r>
        <w:rPr>
          <w:spacing w:val="19"/>
        </w:rPr>
        <w:t>following</w:t>
      </w:r>
      <w:r>
        <w:rPr>
          <w:spacing w:val="19"/>
        </w:rPr>
        <w:t> website:</w:t>
      </w:r>
      <w:r>
        <w:rPr>
          <w:spacing w:val="19"/>
        </w:rPr>
        <w:t> </w:t>
      </w:r>
      <w:r>
        <w:rPr>
          <w:color w:val="0000FF"/>
          <w:spacing w:val="18"/>
          <w:u w:val="single" w:color="0000FF"/>
        </w:rPr>
        <w:t>h]p://</w:t>
      </w:r>
      <w:r>
        <w:rPr>
          <w:color w:val="0000FF"/>
          <w:spacing w:val="-14"/>
          <w:u w:val="single" w:color="0000FF"/>
        </w:rPr>
        <w:t> </w:t>
      </w:r>
      <w:r>
        <w:rPr>
          <w:color w:val="0000FF"/>
          <w:spacing w:val="-14"/>
          <w:u w:val="none"/>
        </w:rPr>
        <w:t> </w:t>
      </w:r>
      <w:hyperlink r:id="rId6">
        <w:r>
          <w:rPr>
            <w:color w:val="0000FF"/>
            <w:u w:val="single" w:color="0000FF"/>
          </w:rPr>
          <w:t>www.stonybrook.edu/ehs/ﬁre/disabiliBes</w:t>
        </w:r>
      </w:hyperlink>
      <w:r>
        <w:rPr>
          <w:color w:val="0000FF"/>
          <w:u w:val="none"/>
        </w:rPr>
        <w:t> </w:t>
      </w:r>
      <w:r>
        <w:rPr>
          <w:u w:val="none"/>
        </w:rPr>
        <w:t>]</w:t>
      </w:r>
    </w:p>
    <w:p>
      <w:pPr>
        <w:pStyle w:val="Heading1"/>
        <w:spacing w:before="125"/>
      </w:pPr>
      <w:r>
        <w:rPr/>
        <w:t>Academic</w:t>
      </w:r>
      <w:r>
        <w:rPr>
          <w:spacing w:val="-5"/>
        </w:rPr>
        <w:t> </w:t>
      </w:r>
      <w:r>
        <w:rPr/>
        <w:t>Integrity</w:t>
      </w:r>
      <w:r>
        <w:rPr>
          <w:spacing w:val="-4"/>
        </w:rPr>
        <w:t> </w:t>
      </w:r>
      <w:r>
        <w:rPr>
          <w:spacing w:val="-2"/>
        </w:rPr>
        <w:t>Statement:</w:t>
      </w:r>
    </w:p>
    <w:p>
      <w:pPr>
        <w:spacing w:after="0"/>
        <w:sectPr>
          <w:pgSz w:w="12240" w:h="15840"/>
          <w:pgMar w:top="1360" w:bottom="280" w:left="1340" w:right="1660"/>
        </w:sectPr>
      </w:pPr>
    </w:p>
    <w:p>
      <w:pPr>
        <w:pStyle w:val="BodyText"/>
        <w:spacing w:line="244" w:lineRule="auto" w:before="38"/>
        <w:ind w:left="820" w:right="125"/>
        <w:jc w:val="both"/>
      </w:pPr>
      <w:r>
        <w:rPr/>
        <w:t>Each student must pursue his or her academic goals honestly and be personally accountable for all submi]ed work. RepresenBng another person's work as your own is always wrong. Faculty are required to report any suspected instances of academic dishonesty to the Academic Judiciary. Faculty in the Health Sciences Center (School of Health Technology &amp; Management, Nursing, Social Welfare, Dental Medicine) and School of Medicine are required to follow their school-speciﬁc procedures. For more comprehensive informaBon on academic integrity, including categories of academic dishonesty, </w:t>
      </w:r>
      <w:r>
        <w:rPr>
          <w:spacing w:val="9"/>
        </w:rPr>
        <w:t>please</w:t>
      </w:r>
      <w:r>
        <w:rPr>
          <w:spacing w:val="9"/>
        </w:rPr>
        <w:t> </w:t>
      </w:r>
      <w:r>
        <w:rPr/>
        <w:t>refer to the </w:t>
      </w:r>
      <w:r>
        <w:rPr>
          <w:spacing w:val="9"/>
        </w:rPr>
        <w:t>academic</w:t>
      </w:r>
      <w:r>
        <w:rPr>
          <w:spacing w:val="9"/>
        </w:rPr>
        <w:t> judiciary</w:t>
      </w:r>
      <w:r>
        <w:rPr>
          <w:spacing w:val="9"/>
        </w:rPr>
        <w:t> </w:t>
      </w:r>
      <w:r>
        <w:rPr/>
        <w:t>website at </w:t>
      </w:r>
      <w:r>
        <w:rPr>
          <w:color w:val="0000FF"/>
          <w:spacing w:val="10"/>
          <w:u w:val="single" w:color="0000FF"/>
        </w:rPr>
        <w:t>h]p://</w:t>
      </w:r>
      <w:r>
        <w:rPr>
          <w:color w:val="0000FF"/>
          <w:spacing w:val="10"/>
          <w:u w:val="none"/>
        </w:rPr>
        <w:t> </w:t>
      </w:r>
      <w:hyperlink r:id="rId7">
        <w:r>
          <w:rPr>
            <w:color w:val="0000FF"/>
            <w:spacing w:val="-2"/>
            <w:u w:val="single" w:color="0000FF"/>
          </w:rPr>
          <w:t>www.stonybrook.edu/commcms/academic_integrity/index.html</w:t>
        </w:r>
      </w:hyperlink>
    </w:p>
    <w:p>
      <w:pPr>
        <w:pStyle w:val="Heading1"/>
        <w:spacing w:before="131"/>
      </w:pPr>
      <w:r>
        <w:rPr>
          <w:spacing w:val="-2"/>
        </w:rPr>
        <w:t>Cri%cal</w:t>
      </w:r>
      <w:r>
        <w:rPr>
          <w:spacing w:val="1"/>
        </w:rPr>
        <w:t> </w:t>
      </w:r>
      <w:r>
        <w:rPr>
          <w:spacing w:val="-2"/>
        </w:rPr>
        <w:t>Incident</w:t>
      </w:r>
      <w:r>
        <w:rPr>
          <w:spacing w:val="1"/>
        </w:rPr>
        <w:t> </w:t>
      </w:r>
      <w:r>
        <w:rPr>
          <w:spacing w:val="-2"/>
        </w:rPr>
        <w:t>Management</w:t>
      </w:r>
      <w:r>
        <w:rPr>
          <w:spacing w:val="1"/>
        </w:rPr>
        <w:t> </w:t>
      </w:r>
      <w:r>
        <w:rPr>
          <w:spacing w:val="-2"/>
        </w:rPr>
        <w:t>Statement:</w:t>
      </w:r>
    </w:p>
    <w:p>
      <w:pPr>
        <w:pStyle w:val="BodyText"/>
        <w:spacing w:line="244" w:lineRule="auto" w:before="127"/>
        <w:ind w:left="820" w:right="137"/>
        <w:jc w:val="both"/>
      </w:pPr>
      <w:r>
        <w:rPr/>
        <w:t>Stony Brook University expects students to respect the rights, privileges, and property of other people. Faculty are required to report to the Oﬃce of Judicial Aﬀairs</w:t>
      </w:r>
      <w:r>
        <w:rPr>
          <w:spacing w:val="-4"/>
        </w:rPr>
        <w:t> </w:t>
      </w:r>
      <w:r>
        <w:rPr/>
        <w:t>any</w:t>
      </w:r>
      <w:r>
        <w:rPr>
          <w:spacing w:val="-4"/>
        </w:rPr>
        <w:t> </w:t>
      </w:r>
      <w:r>
        <w:rPr/>
        <w:t>disrupBve</w:t>
      </w:r>
      <w:r>
        <w:rPr>
          <w:spacing w:val="-4"/>
        </w:rPr>
        <w:t> </w:t>
      </w:r>
      <w:r>
        <w:rPr/>
        <w:t>behavior</w:t>
      </w:r>
      <w:r>
        <w:rPr>
          <w:spacing w:val="-4"/>
        </w:rPr>
        <w:t> </w:t>
      </w:r>
      <w:r>
        <w:rPr/>
        <w:t>that</w:t>
      </w:r>
      <w:r>
        <w:rPr>
          <w:spacing w:val="-4"/>
        </w:rPr>
        <w:t> </w:t>
      </w:r>
      <w:r>
        <w:rPr/>
        <w:t>interrupts</w:t>
      </w:r>
      <w:r>
        <w:rPr>
          <w:spacing w:val="-4"/>
        </w:rPr>
        <w:t> </w:t>
      </w:r>
      <w:r>
        <w:rPr/>
        <w:t>their</w:t>
      </w:r>
      <w:r>
        <w:rPr>
          <w:spacing w:val="-4"/>
        </w:rPr>
        <w:t> </w:t>
      </w:r>
      <w:r>
        <w:rPr/>
        <w:t>ability</w:t>
      </w:r>
      <w:r>
        <w:rPr>
          <w:spacing w:val="-4"/>
        </w:rPr>
        <w:t> </w:t>
      </w:r>
      <w:r>
        <w:rPr/>
        <w:t>to</w:t>
      </w:r>
      <w:r>
        <w:rPr>
          <w:spacing w:val="-4"/>
        </w:rPr>
        <w:t> </w:t>
      </w:r>
      <w:r>
        <w:rPr/>
        <w:t>teach,</w:t>
      </w:r>
      <w:r>
        <w:rPr>
          <w:spacing w:val="-4"/>
        </w:rPr>
        <w:t> </w:t>
      </w:r>
      <w:r>
        <w:rPr/>
        <w:t>compromises</w:t>
      </w:r>
      <w:r>
        <w:rPr>
          <w:spacing w:val="-4"/>
        </w:rPr>
        <w:t> </w:t>
      </w:r>
      <w:r>
        <w:rPr/>
        <w:t>the safety of the learning environment, or inhibits students' ability to learn. Faculty in the HSC Schools and the School of Medicine are required to follow their school- speciﬁc procedures.</w:t>
      </w:r>
    </w:p>
    <w:p>
      <w:pPr>
        <w:pStyle w:val="BodyText"/>
        <w:spacing w:before="127"/>
        <w:jc w:val="both"/>
      </w:pPr>
      <w:r>
        <w:rPr/>
        <w:t>Document</w:t>
      </w:r>
      <w:r>
        <w:rPr>
          <w:spacing w:val="-6"/>
        </w:rPr>
        <w:t> </w:t>
      </w:r>
      <w:r>
        <w:rPr/>
        <w:t>prepared</w:t>
      </w:r>
      <w:r>
        <w:rPr>
          <w:spacing w:val="-5"/>
        </w:rPr>
        <w:t> </w:t>
      </w:r>
      <w:r>
        <w:rPr/>
        <w:t>by</w:t>
      </w:r>
      <w:r>
        <w:rPr>
          <w:spacing w:val="-6"/>
        </w:rPr>
        <w:t> </w:t>
      </w:r>
      <w:r>
        <w:rPr/>
        <w:t>David</w:t>
      </w:r>
      <w:r>
        <w:rPr>
          <w:spacing w:val="-5"/>
        </w:rPr>
        <w:t> </w:t>
      </w:r>
      <w:r>
        <w:rPr/>
        <w:t>Westerfeld</w:t>
      </w:r>
      <w:r>
        <w:rPr>
          <w:spacing w:val="-5"/>
        </w:rPr>
        <w:t> </w:t>
      </w:r>
      <w:r>
        <w:rPr/>
        <w:t>on</w:t>
      </w:r>
      <w:r>
        <w:rPr>
          <w:spacing w:val="-6"/>
        </w:rPr>
        <w:t> </w:t>
      </w:r>
      <w:r>
        <w:rPr/>
        <w:t>25</w:t>
      </w:r>
      <w:r>
        <w:rPr>
          <w:spacing w:val="-5"/>
        </w:rPr>
        <w:t> </w:t>
      </w:r>
      <w:r>
        <w:rPr/>
        <w:t>August</w:t>
      </w:r>
      <w:r>
        <w:rPr>
          <w:spacing w:val="-5"/>
        </w:rPr>
        <w:t> </w:t>
      </w:r>
      <w:r>
        <w:rPr>
          <w:spacing w:val="-2"/>
        </w:rPr>
        <w:t>2025.</w:t>
      </w:r>
    </w:p>
    <w:sectPr>
      <w:pgSz w:w="12240" w:h="15840"/>
      <w:pgMar w:top="1360" w:bottom="280" w:left="1340" w:right="1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20" w:hanging="360"/>
      </w:pPr>
      <w:rPr>
        <w:rFonts w:hint="default" w:ascii="Symbol" w:hAnsi="Symbol" w:eastAsia="Symbol" w:cs="Symbol"/>
        <w:b w:val="0"/>
        <w:bCs w:val="0"/>
        <w:i w:val="0"/>
        <w:iCs w:val="0"/>
        <w:spacing w:val="0"/>
        <w:w w:val="100"/>
        <w:position w:val="2"/>
        <w:sz w:val="24"/>
        <w:szCs w:val="24"/>
        <w:lang w:val="en-US" w:eastAsia="en-US" w:bidi="ar-SA"/>
      </w:rPr>
    </w:lvl>
    <w:lvl w:ilvl="1">
      <w:start w:val="0"/>
      <w:numFmt w:val="bullet"/>
      <w:lvlText w:val="•"/>
      <w:lvlJc w:val="left"/>
      <w:pPr>
        <w:ind w:left="1662" w:hanging="360"/>
      </w:pPr>
      <w:rPr>
        <w:rFonts w:hint="default"/>
        <w:lang w:val="en-US" w:eastAsia="en-US" w:bidi="ar-SA"/>
      </w:rPr>
    </w:lvl>
    <w:lvl w:ilvl="2">
      <w:start w:val="0"/>
      <w:numFmt w:val="bullet"/>
      <w:lvlText w:val="•"/>
      <w:lvlJc w:val="left"/>
      <w:pPr>
        <w:ind w:left="2504" w:hanging="360"/>
      </w:pPr>
      <w:rPr>
        <w:rFonts w:hint="default"/>
        <w:lang w:val="en-US" w:eastAsia="en-US" w:bidi="ar-SA"/>
      </w:rPr>
    </w:lvl>
    <w:lvl w:ilvl="3">
      <w:start w:val="0"/>
      <w:numFmt w:val="bullet"/>
      <w:lvlText w:val="•"/>
      <w:lvlJc w:val="left"/>
      <w:pPr>
        <w:ind w:left="3346" w:hanging="360"/>
      </w:pPr>
      <w:rPr>
        <w:rFonts w:hint="default"/>
        <w:lang w:val="en-US" w:eastAsia="en-US" w:bidi="ar-SA"/>
      </w:rPr>
    </w:lvl>
    <w:lvl w:ilvl="4">
      <w:start w:val="0"/>
      <w:numFmt w:val="bullet"/>
      <w:lvlText w:val="•"/>
      <w:lvlJc w:val="left"/>
      <w:pPr>
        <w:ind w:left="4188" w:hanging="360"/>
      </w:pPr>
      <w:rPr>
        <w:rFonts w:hint="default"/>
        <w:lang w:val="en-US" w:eastAsia="en-US" w:bidi="ar-SA"/>
      </w:rPr>
    </w:lvl>
    <w:lvl w:ilvl="5">
      <w:start w:val="0"/>
      <w:numFmt w:val="bullet"/>
      <w:lvlText w:val="•"/>
      <w:lvlJc w:val="left"/>
      <w:pPr>
        <w:ind w:left="5030" w:hanging="360"/>
      </w:pPr>
      <w:rPr>
        <w:rFonts w:hint="default"/>
        <w:lang w:val="en-US" w:eastAsia="en-US" w:bidi="ar-SA"/>
      </w:rPr>
    </w:lvl>
    <w:lvl w:ilvl="6">
      <w:start w:val="0"/>
      <w:numFmt w:val="bullet"/>
      <w:lvlText w:val="•"/>
      <w:lvlJc w:val="left"/>
      <w:pPr>
        <w:ind w:left="5872" w:hanging="360"/>
      </w:pPr>
      <w:rPr>
        <w:rFonts w:hint="default"/>
        <w:lang w:val="en-US" w:eastAsia="en-US" w:bidi="ar-SA"/>
      </w:rPr>
    </w:lvl>
    <w:lvl w:ilvl="7">
      <w:start w:val="0"/>
      <w:numFmt w:val="bullet"/>
      <w:lvlText w:val="•"/>
      <w:lvlJc w:val="left"/>
      <w:pPr>
        <w:ind w:left="6714" w:hanging="360"/>
      </w:pPr>
      <w:rPr>
        <w:rFonts w:hint="default"/>
        <w:lang w:val="en-US" w:eastAsia="en-US" w:bidi="ar-SA"/>
      </w:rPr>
    </w:lvl>
    <w:lvl w:ilvl="8">
      <w:start w:val="0"/>
      <w:numFmt w:val="bullet"/>
      <w:lvlText w:val="•"/>
      <w:lvlJc w:val="left"/>
      <w:pPr>
        <w:ind w:left="7556" w:hanging="360"/>
      </w:pPr>
      <w:rPr>
        <w:rFonts w:hint="default"/>
        <w:lang w:val="en-US" w:eastAsia="en-US" w:bidi="ar-SA"/>
      </w:rPr>
    </w:lvl>
  </w:abstractNum>
  <w:abstractNum w:abstractNumId="0">
    <w:multiLevelType w:val="hybridMultilevel"/>
    <w:lvl w:ilvl="0">
      <w:start w:val="0"/>
      <w:numFmt w:val="bullet"/>
      <w:lvlText w:val="•"/>
      <w:lvlJc w:val="left"/>
      <w:pPr>
        <w:ind w:left="889" w:hanging="190"/>
      </w:pPr>
      <w:rPr>
        <w:rFonts w:hint="default" w:ascii="Calibri" w:hAnsi="Calibri" w:eastAsia="Calibri" w:cs="Calibri"/>
        <w:b/>
        <w:bCs/>
        <w:i w:val="0"/>
        <w:iCs w:val="0"/>
        <w:spacing w:val="0"/>
        <w:w w:val="100"/>
        <w:sz w:val="24"/>
        <w:szCs w:val="24"/>
        <w:lang w:val="en-US" w:eastAsia="en-US" w:bidi="ar-SA"/>
      </w:rPr>
    </w:lvl>
    <w:lvl w:ilvl="1">
      <w:start w:val="0"/>
      <w:numFmt w:val="bullet"/>
      <w:lvlText w:val="•"/>
      <w:lvlJc w:val="left"/>
      <w:pPr>
        <w:ind w:left="1716" w:hanging="190"/>
      </w:pPr>
      <w:rPr>
        <w:rFonts w:hint="default"/>
        <w:lang w:val="en-US" w:eastAsia="en-US" w:bidi="ar-SA"/>
      </w:rPr>
    </w:lvl>
    <w:lvl w:ilvl="2">
      <w:start w:val="0"/>
      <w:numFmt w:val="bullet"/>
      <w:lvlText w:val="•"/>
      <w:lvlJc w:val="left"/>
      <w:pPr>
        <w:ind w:left="2552" w:hanging="190"/>
      </w:pPr>
      <w:rPr>
        <w:rFonts w:hint="default"/>
        <w:lang w:val="en-US" w:eastAsia="en-US" w:bidi="ar-SA"/>
      </w:rPr>
    </w:lvl>
    <w:lvl w:ilvl="3">
      <w:start w:val="0"/>
      <w:numFmt w:val="bullet"/>
      <w:lvlText w:val="•"/>
      <w:lvlJc w:val="left"/>
      <w:pPr>
        <w:ind w:left="3388" w:hanging="190"/>
      </w:pPr>
      <w:rPr>
        <w:rFonts w:hint="default"/>
        <w:lang w:val="en-US" w:eastAsia="en-US" w:bidi="ar-SA"/>
      </w:rPr>
    </w:lvl>
    <w:lvl w:ilvl="4">
      <w:start w:val="0"/>
      <w:numFmt w:val="bullet"/>
      <w:lvlText w:val="•"/>
      <w:lvlJc w:val="left"/>
      <w:pPr>
        <w:ind w:left="4224" w:hanging="190"/>
      </w:pPr>
      <w:rPr>
        <w:rFonts w:hint="default"/>
        <w:lang w:val="en-US" w:eastAsia="en-US" w:bidi="ar-SA"/>
      </w:rPr>
    </w:lvl>
    <w:lvl w:ilvl="5">
      <w:start w:val="0"/>
      <w:numFmt w:val="bullet"/>
      <w:lvlText w:val="•"/>
      <w:lvlJc w:val="left"/>
      <w:pPr>
        <w:ind w:left="5060" w:hanging="190"/>
      </w:pPr>
      <w:rPr>
        <w:rFonts w:hint="default"/>
        <w:lang w:val="en-US" w:eastAsia="en-US" w:bidi="ar-SA"/>
      </w:rPr>
    </w:lvl>
    <w:lvl w:ilvl="6">
      <w:start w:val="0"/>
      <w:numFmt w:val="bullet"/>
      <w:lvlText w:val="•"/>
      <w:lvlJc w:val="left"/>
      <w:pPr>
        <w:ind w:left="5896" w:hanging="190"/>
      </w:pPr>
      <w:rPr>
        <w:rFonts w:hint="default"/>
        <w:lang w:val="en-US" w:eastAsia="en-US" w:bidi="ar-SA"/>
      </w:rPr>
    </w:lvl>
    <w:lvl w:ilvl="7">
      <w:start w:val="0"/>
      <w:numFmt w:val="bullet"/>
      <w:lvlText w:val="•"/>
      <w:lvlJc w:val="left"/>
      <w:pPr>
        <w:ind w:left="6732" w:hanging="190"/>
      </w:pPr>
      <w:rPr>
        <w:rFonts w:hint="default"/>
        <w:lang w:val="en-US" w:eastAsia="en-US" w:bidi="ar-SA"/>
      </w:rPr>
    </w:lvl>
    <w:lvl w:ilvl="8">
      <w:start w:val="0"/>
      <w:numFmt w:val="bullet"/>
      <w:lvlText w:val="•"/>
      <w:lvlJc w:val="left"/>
      <w:pPr>
        <w:ind w:left="7568" w:hanging="19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00"/>
    </w:pPr>
    <w:rPr>
      <w:rFonts w:ascii="Calibri" w:hAnsi="Calibri" w:eastAsia="Calibri" w:cs="Calibri"/>
      <w:sz w:val="24"/>
      <w:szCs w:val="24"/>
      <w:lang w:val="en-US" w:eastAsia="en-US" w:bidi="ar-SA"/>
    </w:rPr>
  </w:style>
  <w:style w:styleId="Heading1" w:type="paragraph">
    <w:name w:val="Heading 1"/>
    <w:basedOn w:val="Normal"/>
    <w:uiPriority w:val="1"/>
    <w:qFormat/>
    <w:pPr>
      <w:spacing w:before="38"/>
      <w:ind w:left="820"/>
      <w:jc w:val="both"/>
      <w:outlineLvl w:val="1"/>
    </w:pPr>
    <w:rPr>
      <w:rFonts w:ascii="Calibri" w:hAnsi="Calibri" w:eastAsia="Calibri" w:cs="Calibri"/>
      <w:b/>
      <w:bCs/>
      <w:sz w:val="24"/>
      <w:szCs w:val="24"/>
      <w:lang w:val="en-US" w:eastAsia="en-US" w:bidi="ar-SA"/>
    </w:rPr>
  </w:style>
  <w:style w:styleId="Title" w:type="paragraph">
    <w:name w:val="Title"/>
    <w:basedOn w:val="Normal"/>
    <w:uiPriority w:val="1"/>
    <w:qFormat/>
    <w:pPr>
      <w:spacing w:before="7"/>
      <w:ind w:left="3067" w:hanging="2460"/>
    </w:pPr>
    <w:rPr>
      <w:rFonts w:ascii="Calibri" w:hAnsi="Calibri" w:eastAsia="Calibri" w:cs="Calibri"/>
      <w:sz w:val="36"/>
      <w:szCs w:val="36"/>
      <w:lang w:val="en-US" w:eastAsia="en-US" w:bidi="ar-SA"/>
    </w:rPr>
  </w:style>
  <w:style w:styleId="ListParagraph" w:type="paragraph">
    <w:name w:val="List Paragraph"/>
    <w:basedOn w:val="Normal"/>
    <w:uiPriority w:val="1"/>
    <w:qFormat/>
    <w:pPr>
      <w:spacing w:line="300" w:lineRule="exact"/>
      <w:ind w:left="819" w:hanging="359"/>
    </w:pPr>
    <w:rPr>
      <w:rFonts w:ascii="Calibri" w:hAnsi="Calibri" w:eastAsia="Calibri" w:cs="Calibri"/>
      <w:lang w:val="en-US" w:eastAsia="en-US" w:bidi="ar-SA"/>
    </w:rPr>
  </w:style>
  <w:style w:styleId="TableParagraph" w:type="paragraph">
    <w:name w:val="Table Paragraph"/>
    <w:basedOn w:val="Normal"/>
    <w:uiPriority w:val="1"/>
    <w:qFormat/>
    <w:pPr>
      <w:spacing w:before="27"/>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david.westerfeld@stonybrook.edu" TargetMode="External"/><Relationship Id="rId6" Type="http://schemas.openxmlformats.org/officeDocument/2006/relationships/hyperlink" Target="http://www.stonybrook.edu/ehs/&#64257;re/disabiliBes" TargetMode="External"/><Relationship Id="rId7" Type="http://schemas.openxmlformats.org/officeDocument/2006/relationships/hyperlink" Target="http://www.stonybrook.edu/commcms/academic_integrity/index.html"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terms:created xsi:type="dcterms:W3CDTF">2025-10-29T16:16:17Z</dcterms:created>
  <dcterms:modified xsi:type="dcterms:W3CDTF">2025-10-29T16:16:17Z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2025-08-25T00:00:00Z</vt:filetime>
  </property>
  <property fmtid="{D5CDD505-2E9C-101B-9397-08002B2CF9AE}" pid="3" name="Creator">
    <vt:lpwstr>Pages</vt:lpwstr>
  </property>
  <property fmtid="{D5CDD505-2E9C-101B-9397-08002B2CF9AE}" pid="4" name="LastSaved">
    <vt:filetime>2025-10-29T00:00:00Z</vt:filetime>
  </property>
  <property fmtid="{D5CDD505-2E9C-101B-9397-08002B2CF9AE}" pid="5" name="Producer">
    <vt:lpwstr>macOS Version 15.6.1 (Build 24G90) Quartz PDFContext</vt:lpwstr>
  </property>
</Properties>
</file>